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宋体" w:hAnsi="宋体" w:eastAsia="宋体" w:cs="宋体"/>
          <w:b/>
          <w:color w:val="auto"/>
          <w:sz w:val="44"/>
          <w:szCs w:val="44"/>
          <w:lang w:val="en" w:eastAsia="zh-CN"/>
        </w:rPr>
      </w:pPr>
      <w:r>
        <w:rPr>
          <w:rFonts w:hint="eastAsia" w:ascii="宋体" w:hAnsi="宋体" w:eastAsia="宋体" w:cs="宋体"/>
          <w:b/>
          <w:color w:val="auto"/>
          <w:sz w:val="44"/>
          <w:szCs w:val="44"/>
          <w:lang w:val="en" w:eastAsia="zh-CN"/>
        </w:rPr>
        <w:t>光明区图书馆202</w:t>
      </w:r>
      <w:r>
        <w:rPr>
          <w:rFonts w:hint="eastAsia" w:ascii="宋体" w:hAnsi="宋体" w:eastAsia="宋体" w:cs="宋体"/>
          <w:b/>
          <w:color w:val="auto"/>
          <w:sz w:val="44"/>
          <w:szCs w:val="44"/>
          <w:lang w:val="en-US" w:eastAsia="zh-CN"/>
        </w:rPr>
        <w:t>4—</w:t>
      </w:r>
      <w:r>
        <w:rPr>
          <w:rFonts w:hint="eastAsia" w:ascii="宋体" w:hAnsi="宋体" w:eastAsia="宋体" w:cs="宋体"/>
          <w:b/>
          <w:color w:val="auto"/>
          <w:sz w:val="44"/>
          <w:szCs w:val="44"/>
          <w:lang w:val="en" w:eastAsia="zh-CN"/>
        </w:rPr>
        <w:t>202</w:t>
      </w:r>
      <w:r>
        <w:rPr>
          <w:rFonts w:hint="eastAsia" w:ascii="宋体" w:hAnsi="宋体" w:eastAsia="宋体" w:cs="宋体"/>
          <w:b/>
          <w:color w:val="auto"/>
          <w:sz w:val="44"/>
          <w:szCs w:val="44"/>
          <w:lang w:val="en-US" w:eastAsia="zh-CN"/>
        </w:rPr>
        <w:t>5</w:t>
      </w:r>
      <w:r>
        <w:rPr>
          <w:rFonts w:hint="eastAsia" w:ascii="宋体" w:hAnsi="宋体" w:eastAsia="宋体" w:cs="宋体"/>
          <w:b/>
          <w:color w:val="auto"/>
          <w:sz w:val="44"/>
          <w:szCs w:val="44"/>
          <w:lang w:val="en" w:eastAsia="zh-CN"/>
        </w:rPr>
        <w:t>年光明大讲堂项目</w:t>
      </w:r>
    </w:p>
    <w:p>
      <w:pPr>
        <w:spacing w:line="578" w:lineRule="exact"/>
        <w:jc w:val="center"/>
        <w:rPr>
          <w:rFonts w:hint="eastAsia" w:ascii="宋体" w:hAnsi="宋体" w:eastAsia="宋体" w:cs="宋体"/>
          <w:b/>
          <w:color w:val="auto"/>
          <w:sz w:val="44"/>
          <w:szCs w:val="44"/>
          <w:lang w:val="en" w:eastAsia="zh-CN"/>
        </w:rPr>
      </w:pPr>
      <w:r>
        <w:rPr>
          <w:rFonts w:hint="eastAsia" w:ascii="宋体" w:hAnsi="宋体" w:eastAsia="宋体" w:cs="宋体"/>
          <w:b/>
          <w:color w:val="auto"/>
          <w:sz w:val="44"/>
          <w:szCs w:val="44"/>
          <w:lang w:val="en" w:eastAsia="zh-CN"/>
        </w:rPr>
        <w:t>采购需求</w:t>
      </w:r>
    </w:p>
    <w:p>
      <w:pPr>
        <w:spacing w:before="0" w:beforeLines="-2147483648" w:after="0" w:afterLines="-2147483648" w:line="578" w:lineRule="exact"/>
        <w:jc w:val="center"/>
        <w:rPr>
          <w:rFonts w:hint="eastAsia"/>
        </w:rPr>
      </w:pPr>
      <w:bookmarkStart w:id="1" w:name="_GoBack"/>
      <w:bookmarkEnd w:id="1"/>
    </w:p>
    <w:p>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一、采购项目概况</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b w:val="0"/>
          <w:bCs w:val="0"/>
          <w:color w:val="auto"/>
          <w:kern w:val="0"/>
          <w:sz w:val="32"/>
          <w:szCs w:val="32"/>
          <w:shd w:val="clear" w:color="auto" w:fill="auto"/>
          <w:lang w:val="en-US" w:eastAsia="zh-CN"/>
        </w:rPr>
      </w:pPr>
      <w:bookmarkStart w:id="0" w:name="_Hlk47626645"/>
      <w:r>
        <w:rPr>
          <w:rFonts w:hint="eastAsia" w:ascii="仿宋_GB2312" w:hAnsi="宋体" w:eastAsia="仿宋_GB2312" w:cs="宋体"/>
          <w:b/>
          <w:bCs/>
          <w:kern w:val="0"/>
          <w:sz w:val="32"/>
          <w:szCs w:val="32"/>
        </w:rPr>
        <w:t>项目</w:t>
      </w:r>
      <w:bookmarkEnd w:id="0"/>
      <w:r>
        <w:rPr>
          <w:rFonts w:hint="eastAsia" w:ascii="仿宋_GB2312" w:hAnsi="宋体" w:eastAsia="仿宋_GB2312" w:cs="宋体"/>
          <w:b/>
          <w:bCs/>
          <w:kern w:val="0"/>
          <w:sz w:val="32"/>
          <w:szCs w:val="32"/>
        </w:rPr>
        <w:t>名称：</w:t>
      </w:r>
      <w:r>
        <w:rPr>
          <w:rFonts w:hint="eastAsia" w:ascii="仿宋_GB2312" w:eastAsia="仿宋_GB2312" w:cs="仿宋_GB2312"/>
          <w:color w:val="auto"/>
          <w:sz w:val="32"/>
          <w:szCs w:val="32"/>
          <w:shd w:val="clear" w:color="auto" w:fill="auto"/>
          <w:lang w:val="en" w:eastAsia="zh-CN"/>
        </w:rPr>
        <w:t>光明区图书馆202</w:t>
      </w:r>
      <w:r>
        <w:rPr>
          <w:rFonts w:hint="eastAsia" w:ascii="仿宋_GB2312" w:eastAsia="仿宋_GB2312" w:cs="仿宋_GB2312"/>
          <w:color w:val="auto"/>
          <w:sz w:val="32"/>
          <w:szCs w:val="32"/>
          <w:shd w:val="clear" w:color="auto" w:fill="auto"/>
          <w:lang w:val="en-US" w:eastAsia="zh-CN"/>
        </w:rPr>
        <w:t>4—</w:t>
      </w:r>
      <w:r>
        <w:rPr>
          <w:rFonts w:hint="eastAsia" w:ascii="仿宋_GB2312" w:eastAsia="仿宋_GB2312" w:cs="仿宋_GB2312"/>
          <w:color w:val="auto"/>
          <w:sz w:val="32"/>
          <w:szCs w:val="32"/>
          <w:shd w:val="clear" w:color="auto" w:fill="auto"/>
          <w:lang w:val="en" w:eastAsia="zh-CN"/>
        </w:rPr>
        <w:t>202</w:t>
      </w:r>
      <w:r>
        <w:rPr>
          <w:rFonts w:hint="eastAsia" w:ascii="仿宋_GB2312" w:eastAsia="仿宋_GB2312" w:cs="仿宋_GB2312"/>
          <w:color w:val="auto"/>
          <w:sz w:val="32"/>
          <w:szCs w:val="32"/>
          <w:shd w:val="clear" w:color="auto" w:fill="auto"/>
          <w:lang w:val="en-US" w:eastAsia="zh-CN"/>
        </w:rPr>
        <w:t>5</w:t>
      </w:r>
      <w:r>
        <w:rPr>
          <w:rFonts w:hint="eastAsia" w:ascii="仿宋_GB2312" w:eastAsia="仿宋_GB2312" w:cs="仿宋_GB2312"/>
          <w:color w:val="auto"/>
          <w:sz w:val="32"/>
          <w:szCs w:val="32"/>
          <w:shd w:val="clear" w:color="auto" w:fill="auto"/>
          <w:lang w:val="en" w:eastAsia="zh-CN"/>
        </w:rPr>
        <w:t>年光明大讲堂</w:t>
      </w:r>
      <w:r>
        <w:rPr>
          <w:rFonts w:hint="eastAsia" w:ascii="仿宋_GB2312" w:eastAsia="仿宋_GB2312" w:cs="仿宋_GB2312"/>
          <w:color w:val="auto"/>
          <w:sz w:val="32"/>
          <w:szCs w:val="32"/>
          <w:shd w:val="clear" w:color="auto" w:fill="auto"/>
          <w:lang w:val="en-US" w:eastAsia="zh-CN"/>
        </w:rPr>
        <w:t xml:space="preserve">          </w:t>
      </w:r>
    </w:p>
    <w:p>
      <w:pPr>
        <w:keepNext w:val="0"/>
        <w:keepLines w:val="0"/>
        <w:pageBreakBefore w:val="0"/>
        <w:widowControl/>
        <w:kinsoku/>
        <w:wordWrap/>
        <w:overflowPunct/>
        <w:topLinePunct w:val="0"/>
        <w:bidi w:val="0"/>
        <w:adjustRightInd/>
        <w:snapToGrid/>
        <w:spacing w:line="560" w:lineRule="atLeast"/>
        <w:ind w:left="0" w:leftChars="0" w:firstLine="643" w:firstLineChars="200"/>
        <w:jc w:val="left"/>
        <w:textAlignment w:val="auto"/>
        <w:rPr>
          <w:rFonts w:hint="eastAsia" w:ascii="仿宋_GB2312" w:hAnsi="宋体" w:eastAsia="仿宋_GB2312" w:cs="宋体"/>
          <w:b w:val="0"/>
          <w:bCs w:val="0"/>
          <w:color w:val="auto"/>
          <w:kern w:val="0"/>
          <w:sz w:val="32"/>
          <w:szCs w:val="32"/>
          <w:shd w:val="clear" w:color="auto" w:fill="auto"/>
          <w:lang w:eastAsia="zh-CN"/>
        </w:rPr>
      </w:pPr>
      <w:r>
        <w:rPr>
          <w:rFonts w:hint="eastAsia" w:ascii="仿宋_GB2312" w:hAnsi="宋体" w:eastAsia="仿宋_GB2312" w:cs="宋体"/>
          <w:b/>
          <w:bCs/>
          <w:color w:val="auto"/>
          <w:kern w:val="0"/>
          <w:sz w:val="32"/>
          <w:szCs w:val="32"/>
          <w:shd w:val="clear" w:color="auto" w:fill="auto"/>
          <w:lang w:eastAsia="zh-CN"/>
        </w:rPr>
        <w:t>总</w:t>
      </w:r>
      <w:r>
        <w:rPr>
          <w:rFonts w:hint="eastAsia" w:ascii="仿宋_GB2312" w:hAnsi="宋体" w:eastAsia="仿宋_GB2312" w:cs="宋体"/>
          <w:b/>
          <w:bCs/>
          <w:color w:val="auto"/>
          <w:kern w:val="0"/>
          <w:sz w:val="32"/>
          <w:szCs w:val="32"/>
          <w:shd w:val="clear" w:color="auto" w:fill="auto"/>
        </w:rPr>
        <w:t>预算：</w:t>
      </w:r>
      <w:r>
        <w:rPr>
          <w:rFonts w:hint="eastAsia" w:ascii="仿宋_GB2312" w:hAnsi="宋体" w:eastAsia="仿宋_GB2312" w:cs="宋体"/>
          <w:b/>
          <w:bCs/>
          <w:color w:val="auto"/>
          <w:kern w:val="0"/>
          <w:sz w:val="32"/>
          <w:szCs w:val="32"/>
          <w:shd w:val="clear" w:color="auto" w:fill="auto"/>
          <w:lang w:val="en-US" w:eastAsia="zh-CN"/>
        </w:rPr>
        <w:t>35</w:t>
      </w:r>
      <w:r>
        <w:rPr>
          <w:rFonts w:hint="eastAsia" w:ascii="仿宋_GB2312" w:hAnsi="宋体" w:eastAsia="仿宋_GB2312" w:cs="宋体"/>
          <w:b w:val="0"/>
          <w:bCs w:val="0"/>
          <w:color w:val="auto"/>
          <w:kern w:val="0"/>
          <w:sz w:val="32"/>
          <w:szCs w:val="32"/>
          <w:shd w:val="clear" w:color="auto" w:fill="auto"/>
        </w:rPr>
        <w:t>万元</w:t>
      </w:r>
      <w:r>
        <w:rPr>
          <w:rFonts w:hint="eastAsia" w:ascii="仿宋_GB2312" w:hAnsi="宋体" w:eastAsia="仿宋_GB2312" w:cs="宋体"/>
          <w:b w:val="0"/>
          <w:bCs w:val="0"/>
          <w:color w:val="auto"/>
          <w:kern w:val="0"/>
          <w:sz w:val="32"/>
          <w:szCs w:val="32"/>
          <w:shd w:val="clear" w:color="auto" w:fill="auto"/>
          <w:lang w:eastAsia="zh-CN"/>
        </w:rPr>
        <w:t>（报价高于</w:t>
      </w:r>
      <w:r>
        <w:rPr>
          <w:rFonts w:hint="eastAsia" w:ascii="仿宋_GB2312" w:hAnsi="宋体" w:eastAsia="仿宋_GB2312" w:cs="宋体"/>
          <w:b w:val="0"/>
          <w:bCs w:val="0"/>
          <w:color w:val="auto"/>
          <w:kern w:val="0"/>
          <w:sz w:val="32"/>
          <w:szCs w:val="32"/>
          <w:shd w:val="clear" w:color="auto" w:fill="auto"/>
          <w:lang w:val="en-US" w:eastAsia="zh-CN"/>
        </w:rPr>
        <w:t>35万则无效</w:t>
      </w:r>
      <w:r>
        <w:rPr>
          <w:rFonts w:hint="eastAsia" w:ascii="仿宋_GB2312" w:hAnsi="宋体" w:eastAsia="仿宋_GB2312" w:cs="宋体"/>
          <w:b w:val="0"/>
          <w:bCs w:val="0"/>
          <w:color w:val="auto"/>
          <w:kern w:val="0"/>
          <w:sz w:val="32"/>
          <w:szCs w:val="32"/>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eastAsia="zh-CN"/>
        </w:rPr>
        <w:t>背景</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rPr>
        <w:t>光明大讲堂是光明区以阅读推广为主要目标的公益讲座活动，它的常规化举办对于提升辖区市民阅读习惯养成，丰富业余文化生活，打造区域性阅读推广中心，促进公共文化服务均等化、普惠化方面均具有重要意义。光明大讲堂系列主题是根据光明</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群众的阅读需求，开展</w:t>
      </w:r>
      <w:r>
        <w:rPr>
          <w:rFonts w:hint="eastAsia" w:ascii="仿宋_GB2312" w:hAnsi="宋体" w:eastAsia="仿宋_GB2312" w:cs="宋体"/>
          <w:kern w:val="0"/>
          <w:sz w:val="32"/>
          <w:szCs w:val="32"/>
          <w:lang w:eastAsia="zh-CN"/>
        </w:rPr>
        <w:t>形式多样</w:t>
      </w:r>
      <w:r>
        <w:rPr>
          <w:rFonts w:hint="eastAsia" w:ascii="仿宋_GB2312" w:hAnsi="宋体" w:eastAsia="仿宋_GB2312" w:cs="宋体"/>
          <w:kern w:val="0"/>
          <w:sz w:val="32"/>
          <w:szCs w:val="32"/>
        </w:rPr>
        <w:t>的主题</w:t>
      </w:r>
      <w:r>
        <w:rPr>
          <w:rFonts w:hint="eastAsia" w:ascii="仿宋_GB2312" w:hAnsi="宋体" w:eastAsia="仿宋_GB2312" w:cs="宋体"/>
          <w:kern w:val="0"/>
          <w:sz w:val="32"/>
          <w:szCs w:val="32"/>
          <w:lang w:eastAsia="zh-CN"/>
        </w:rPr>
        <w:t>活动</w:t>
      </w:r>
      <w:r>
        <w:rPr>
          <w:rFonts w:hint="eastAsia" w:ascii="仿宋_GB2312" w:hAnsi="宋体" w:eastAsia="仿宋_GB2312" w:cs="宋体"/>
          <w:kern w:val="0"/>
          <w:sz w:val="32"/>
          <w:szCs w:val="32"/>
        </w:rPr>
        <w:t>；暑期时期加强对未成年人的阅读指引，利用品牌活动的影响力，影响更多的人参与到阅读</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二、项目服务要求</w:t>
      </w:r>
    </w:p>
    <w:p>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w:t>
      </w:r>
      <w:r>
        <w:rPr>
          <w:rFonts w:hint="eastAsia" w:ascii="仿宋_GB2312" w:hAnsi="宋体" w:eastAsia="仿宋_GB2312" w:cs="宋体"/>
          <w:color w:val="000000"/>
          <w:kern w:val="0"/>
          <w:sz w:val="32"/>
          <w:szCs w:val="32"/>
          <w:lang w:eastAsia="zh-CN"/>
        </w:rPr>
        <w:t>活动场地：</w:t>
      </w:r>
      <w:r>
        <w:rPr>
          <w:rFonts w:hint="eastAsia" w:ascii="仿宋_GB2312" w:hAnsi="宋体" w:eastAsia="仿宋_GB2312" w:cs="宋体"/>
          <w:kern w:val="0"/>
          <w:sz w:val="32"/>
          <w:szCs w:val="32"/>
          <w:lang w:eastAsia="zh-CN"/>
        </w:rPr>
        <w:t>主要在光明区</w:t>
      </w:r>
      <w:r>
        <w:rPr>
          <w:rFonts w:hint="eastAsia" w:ascii="仿宋_GB2312" w:hAnsi="宋体" w:eastAsia="仿宋_GB2312" w:cs="宋体"/>
          <w:kern w:val="0"/>
          <w:sz w:val="32"/>
          <w:szCs w:val="32"/>
        </w:rPr>
        <w:t>图书馆</w:t>
      </w:r>
      <w:r>
        <w:rPr>
          <w:rFonts w:hint="eastAsia" w:ascii="仿宋_GB2312" w:hAnsi="宋体" w:eastAsia="仿宋_GB2312" w:cs="宋体"/>
          <w:kern w:val="0"/>
          <w:sz w:val="32"/>
          <w:szCs w:val="32"/>
          <w:lang w:eastAsia="zh-CN"/>
        </w:rPr>
        <w:t>一楼报告厅</w:t>
      </w:r>
      <w:r>
        <w:rPr>
          <w:rFonts w:hint="eastAsia" w:ascii="仿宋_GB2312" w:hAnsi="宋体" w:eastAsia="仿宋_GB2312" w:cs="宋体"/>
          <w:kern w:val="0"/>
          <w:sz w:val="32"/>
          <w:szCs w:val="32"/>
          <w:lang w:val="en-US" w:eastAsia="zh-CN"/>
        </w:rPr>
        <w:t>举行，也可视情况走出馆内，进校园、进社区等</w:t>
      </w:r>
      <w:r>
        <w:rPr>
          <w:rFonts w:hint="eastAsia" w:ascii="仿宋_GB2312" w:hAnsi="宋体" w:eastAsia="仿宋_GB2312" w:cs="宋体"/>
          <w:color w:val="000000"/>
          <w:kern w:val="0"/>
          <w:sz w:val="32"/>
          <w:szCs w:val="32"/>
          <w:lang w:eastAsia="zh-CN"/>
        </w:rPr>
        <w:t>（最终以甲方确定地点为准）</w:t>
      </w:r>
      <w:r>
        <w:rPr>
          <w:rFonts w:hint="eastAsia" w:ascii="仿宋_GB2312" w:hAnsi="宋体" w:eastAsia="仿宋_GB2312" w:cs="宋体"/>
          <w:color w:val="000000"/>
          <w:kern w:val="0"/>
          <w:sz w:val="32"/>
          <w:szCs w:val="32"/>
          <w:lang w:val="en-US" w:eastAsia="zh-CN"/>
        </w:rPr>
        <w:t>。</w:t>
      </w:r>
    </w:p>
    <w:p>
      <w:pPr>
        <w:widowControl/>
        <w:numPr>
          <w:ilvl w:val="0"/>
          <w:numId w:val="0"/>
        </w:num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活动时间：202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-2025年9月</w:t>
      </w:r>
      <w:r>
        <w:rPr>
          <w:rFonts w:hint="eastAsia" w:ascii="仿宋_GB2312" w:hAnsi="宋体" w:eastAsia="仿宋_GB2312" w:cs="宋体"/>
          <w:kern w:val="0"/>
          <w:sz w:val="32"/>
          <w:szCs w:val="32"/>
        </w:rPr>
        <w:t>（以甲方确定时间为准）</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楷体" w:hAnsi="楷体" w:eastAsia="楷体" w:cs="楷体"/>
          <w:color w:val="000000"/>
          <w:kern w:val="0"/>
          <w:sz w:val="32"/>
          <w:szCs w:val="32"/>
          <w:lang w:val="en-US" w:eastAsia="zh-CN"/>
        </w:rPr>
        <w:t>（三）</w:t>
      </w:r>
      <w:r>
        <w:rPr>
          <w:rFonts w:hint="eastAsia" w:ascii="楷体" w:hAnsi="楷体" w:eastAsia="楷体" w:cs="楷体"/>
          <w:kern w:val="0"/>
          <w:sz w:val="32"/>
          <w:szCs w:val="32"/>
          <w:lang w:val="en-US" w:eastAsia="zh-CN"/>
        </w:rPr>
        <w:t>活动方式：</w:t>
      </w:r>
      <w:r>
        <w:rPr>
          <w:rFonts w:hint="eastAsia" w:ascii="仿宋_GB2312" w:hAnsi="宋体" w:eastAsia="仿宋_GB2312" w:cs="宋体"/>
          <w:color w:val="000000"/>
          <w:kern w:val="0"/>
          <w:sz w:val="32"/>
          <w:szCs w:val="32"/>
          <w:lang w:val="en-US" w:eastAsia="zh-CN"/>
        </w:rPr>
        <w:t>线上扫码观看直播/线下免票参与活动同步开展（注：线上后续需剪辑回放视频）</w:t>
      </w:r>
    </w:p>
    <w:p>
      <w:pPr>
        <w:keepNext w:val="0"/>
        <w:keepLines w:val="0"/>
        <w:pageBreakBefore w:val="0"/>
        <w:widowControl/>
        <w:kinsoku/>
        <w:wordWrap/>
        <w:overflowPunct/>
        <w:topLinePunct w:val="0"/>
        <w:autoSpaceDE/>
        <w:autoSpaceDN/>
        <w:bidi w:val="0"/>
        <w:snapToGrid/>
        <w:spacing w:line="560" w:lineRule="atLeast"/>
        <w:ind w:left="0" w:leftChars="0" w:firstLine="640" w:firstLineChars="200"/>
        <w:jc w:val="left"/>
        <w:rPr>
          <w:rFonts w:hint="eastAsia" w:ascii="仿宋_GB2312" w:hAnsi="宋体" w:eastAsia="仿宋_GB2312" w:cs="宋体"/>
          <w:color w:val="000000"/>
          <w:kern w:val="0"/>
          <w:sz w:val="32"/>
          <w:szCs w:val="32"/>
          <w:lang w:val="en-US" w:eastAsia="zh-CN"/>
        </w:rPr>
      </w:pPr>
      <w:r>
        <w:rPr>
          <w:rFonts w:hint="eastAsia" w:ascii="楷体" w:hAnsi="楷体" w:eastAsia="楷体" w:cs="楷体"/>
          <w:color w:val="000000"/>
          <w:kern w:val="0"/>
          <w:sz w:val="32"/>
          <w:szCs w:val="32"/>
          <w:lang w:val="en-US" w:eastAsia="zh-CN"/>
        </w:rPr>
        <w:t>（四）活动时间：</w:t>
      </w:r>
      <w:r>
        <w:rPr>
          <w:rFonts w:hint="eastAsia" w:ascii="仿宋_GB2312" w:hAnsi="宋体" w:eastAsia="仿宋_GB2312" w:cs="宋体"/>
          <w:color w:val="000000"/>
          <w:kern w:val="0"/>
          <w:sz w:val="32"/>
          <w:szCs w:val="32"/>
          <w:lang w:val="en-US" w:eastAsia="zh-CN"/>
        </w:rPr>
        <w:t>按月开展两至三场（周日下午15:00)</w:t>
      </w:r>
    </w:p>
    <w:p>
      <w:pPr>
        <w:keepNext w:val="0"/>
        <w:keepLines w:val="0"/>
        <w:pageBreakBefore w:val="0"/>
        <w:widowControl/>
        <w:kinsoku/>
        <w:wordWrap/>
        <w:overflowPunct/>
        <w:topLinePunct w:val="0"/>
        <w:autoSpaceDE/>
        <w:autoSpaceDN/>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楷体" w:hAnsi="楷体" w:eastAsia="楷体" w:cs="楷体"/>
          <w:kern w:val="0"/>
          <w:sz w:val="32"/>
          <w:szCs w:val="32"/>
          <w:lang w:val="en-US" w:eastAsia="zh-CN"/>
        </w:rPr>
        <w:t>（五）活动内容：</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val="0"/>
          <w:bCs w:val="0"/>
          <w:kern w:val="0"/>
          <w:sz w:val="32"/>
          <w:szCs w:val="32"/>
        </w:rPr>
        <w:t>1、</w:t>
      </w:r>
      <w:r>
        <w:rPr>
          <w:rFonts w:hint="eastAsia" w:ascii="仿宋_GB2312" w:hAnsi="宋体" w:eastAsia="仿宋_GB2312" w:cs="宋体"/>
          <w:b w:val="0"/>
          <w:bCs w:val="0"/>
          <w:kern w:val="0"/>
          <w:sz w:val="32"/>
          <w:szCs w:val="32"/>
          <w:lang w:eastAsia="zh-CN"/>
        </w:rPr>
        <w:t>活动场次：</w:t>
      </w:r>
      <w:r>
        <w:rPr>
          <w:rFonts w:hint="eastAsia" w:ascii="仿宋_GB2312" w:hAnsi="宋体" w:eastAsia="仿宋_GB2312" w:cs="宋体"/>
          <w:kern w:val="0"/>
          <w:sz w:val="32"/>
          <w:szCs w:val="32"/>
          <w:lang w:eastAsia="zh-CN"/>
        </w:rPr>
        <w:t>不少于</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lang w:eastAsia="zh-CN"/>
        </w:rPr>
        <w:t>场次。</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color w:val="000000"/>
          <w:kern w:val="0"/>
          <w:sz w:val="32"/>
          <w:szCs w:val="32"/>
          <w:lang w:val="en-US" w:eastAsia="zh-CN"/>
        </w:rPr>
        <w:t>活动主题：重点围绕科学、科幻、人文、阅读、儿童主题，其他主题可以从中华优秀传统文化、历史文化、风俗礼仪、艺术等系列较吸引市民读者参与的主题活动中选择。</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活动策划：提供</w:t>
      </w:r>
      <w:r>
        <w:rPr>
          <w:rFonts w:hint="eastAsia" w:ascii="仿宋_GB2312" w:hAnsi="宋体" w:eastAsia="仿宋_GB2312" w:cs="宋体"/>
          <w:color w:val="000000"/>
          <w:kern w:val="0"/>
          <w:sz w:val="32"/>
          <w:szCs w:val="32"/>
          <w:lang w:eastAsia="zh-CN"/>
        </w:rPr>
        <w:t>项目</w:t>
      </w:r>
      <w:r>
        <w:rPr>
          <w:rFonts w:hint="eastAsia" w:ascii="仿宋_GB2312" w:hAnsi="宋体" w:eastAsia="仿宋_GB2312" w:cs="宋体"/>
          <w:color w:val="000000"/>
          <w:kern w:val="0"/>
          <w:sz w:val="32"/>
          <w:szCs w:val="32"/>
        </w:rPr>
        <w:t>策划</w:t>
      </w:r>
      <w:r>
        <w:rPr>
          <w:rFonts w:hint="eastAsia" w:ascii="仿宋_GB2312" w:hAnsi="宋体" w:eastAsia="仿宋_GB2312" w:cs="宋体"/>
          <w:color w:val="000000"/>
          <w:kern w:val="0"/>
          <w:sz w:val="32"/>
          <w:szCs w:val="32"/>
          <w:lang w:eastAsia="zh-CN"/>
        </w:rPr>
        <w:t>实施</w:t>
      </w:r>
      <w:r>
        <w:rPr>
          <w:rFonts w:hint="eastAsia" w:ascii="仿宋_GB2312" w:hAnsi="宋体" w:eastAsia="仿宋_GB2312" w:cs="宋体"/>
          <w:color w:val="000000"/>
          <w:kern w:val="0"/>
          <w:sz w:val="32"/>
          <w:szCs w:val="32"/>
        </w:rPr>
        <w:t>方案，活动策划符合开讲主题的选题方向</w:t>
      </w:r>
      <w:r>
        <w:rPr>
          <w:rFonts w:hint="eastAsia" w:ascii="仿宋_GB2312" w:hAnsi="宋体" w:eastAsia="仿宋_GB2312" w:cs="宋体"/>
          <w:color w:val="000000"/>
          <w:kern w:val="0"/>
          <w:sz w:val="32"/>
          <w:szCs w:val="32"/>
          <w:lang w:eastAsia="zh-CN"/>
        </w:rPr>
        <w:t>。</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4、活动</w:t>
      </w:r>
      <w:r>
        <w:rPr>
          <w:rFonts w:hint="eastAsia" w:ascii="仿宋_GB2312" w:hAnsi="宋体" w:eastAsia="仿宋_GB2312" w:cs="宋体"/>
          <w:color w:val="000000"/>
          <w:kern w:val="0"/>
          <w:sz w:val="32"/>
          <w:szCs w:val="32"/>
        </w:rPr>
        <w:t>嘉宾邀请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邀请</w:t>
      </w:r>
      <w:r>
        <w:rPr>
          <w:rFonts w:hint="eastAsia" w:ascii="仿宋_GB2312" w:hAnsi="宋体" w:eastAsia="仿宋_GB2312" w:cs="宋体"/>
          <w:color w:val="000000"/>
          <w:kern w:val="0"/>
          <w:sz w:val="32"/>
          <w:szCs w:val="32"/>
          <w:lang w:val="en-US" w:eastAsia="zh-CN"/>
        </w:rPr>
        <w:t>国内知名作家、</w:t>
      </w:r>
      <w:r>
        <w:rPr>
          <w:rFonts w:hint="eastAsia" w:ascii="仿宋_GB2312" w:hAnsi="宋体" w:eastAsia="仿宋_GB2312" w:cs="宋体"/>
          <w:color w:val="000000"/>
          <w:kern w:val="0"/>
          <w:sz w:val="32"/>
          <w:szCs w:val="32"/>
          <w:lang w:eastAsia="zh-CN"/>
        </w:rPr>
        <w:t>阅读推广人、文化学者</w:t>
      </w:r>
      <w:r>
        <w:rPr>
          <w:rFonts w:hint="eastAsia" w:ascii="仿宋_GB2312" w:hAnsi="宋体" w:eastAsia="仿宋_GB2312" w:cs="宋体"/>
          <w:color w:val="000000"/>
          <w:kern w:val="0"/>
          <w:sz w:val="32"/>
          <w:szCs w:val="32"/>
        </w:rPr>
        <w:t>等</w:t>
      </w:r>
      <w:r>
        <w:rPr>
          <w:rFonts w:hint="eastAsia" w:ascii="仿宋_GB2312" w:hAnsi="宋体" w:eastAsia="仿宋_GB2312" w:cs="宋体"/>
          <w:color w:val="000000"/>
          <w:kern w:val="0"/>
          <w:sz w:val="32"/>
          <w:szCs w:val="32"/>
          <w:lang w:eastAsia="zh-CN"/>
        </w:rPr>
        <w:t>讲师。</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eastAsia="zh-CN"/>
        </w:rPr>
        <w:t>（六）</w:t>
      </w:r>
      <w:r>
        <w:rPr>
          <w:rFonts w:hint="eastAsia" w:ascii="楷体" w:hAnsi="楷体" w:eastAsia="楷体" w:cs="楷体"/>
          <w:color w:val="000000"/>
          <w:kern w:val="0"/>
          <w:sz w:val="32"/>
          <w:szCs w:val="32"/>
        </w:rPr>
        <w:t>活动</w:t>
      </w:r>
      <w:r>
        <w:rPr>
          <w:rFonts w:hint="eastAsia" w:ascii="楷体" w:hAnsi="楷体" w:eastAsia="楷体" w:cs="楷体"/>
          <w:color w:val="000000"/>
          <w:kern w:val="0"/>
          <w:sz w:val="32"/>
          <w:szCs w:val="32"/>
          <w:lang w:eastAsia="zh-CN"/>
        </w:rPr>
        <w:t>实施具体要求</w:t>
      </w:r>
      <w:r>
        <w:rPr>
          <w:rFonts w:hint="eastAsia" w:ascii="楷体" w:hAnsi="楷体" w:eastAsia="楷体" w:cs="楷体"/>
          <w:color w:val="000000"/>
          <w:kern w:val="0"/>
          <w:sz w:val="32"/>
          <w:szCs w:val="32"/>
        </w:rPr>
        <w:t>：</w:t>
      </w:r>
    </w:p>
    <w:p>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1、活动策划实施团队：具有策划讲座和大型活动的能力，团队提供的人员数量必须满足每场活动的实施。</w:t>
      </w:r>
    </w:p>
    <w:p>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2、讲座时间及形式：讲座时间不少于90分钟，主讲嘉宾可通过讲座形式分享阅读心得，现场互动，传递阅读力量，倡导阅读生活。</w:t>
      </w:r>
    </w:p>
    <w:p>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3、宣传用品：能按要求完成活动前期的主题宣传海报制作，海报或易拉宝等相关资料的制作。初稿得进行沟通和确认方能进行印刷，并提供海报等相关资料电子版及原文件。</w:t>
      </w:r>
    </w:p>
    <w:p>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活动现场配置：①、具备线上线下开展活动物料、设备等；②、活动全程提供专业的摄影录像和音频录制，能按要求完成活动影像的剪辑（可用于播放的影像），活动结束后提供所有相关剪辑后的视频影像、音频、活动照片和全程活动的文字稿；③、活动现场需提供嘉宾的采访、寄语的录制；④、线上直播需麦克风收音清晰，直播画面能够在主讲人、课题PPT之间进行灵活切换，活动期间需人员全程跟进，根据课程内容及时进行画面切换，并积极参与读者互动。每场直播结束后需严格按照文件格式要求，提交全场活动的视频回放，保证画面、声音清晰，质量较高；⑤、所有讲座场次结束后，需制作一个60分钟综合宣传视频，并提供每期电子存储介质产品5套（24期共120套），另需设计制作主题宣传折页印刷提供200份；提供一本精选讲座文字记录汇编，并印刷出50册。</w:t>
      </w:r>
    </w:p>
    <w:p>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5、宣传活动推文：宣传推文文案要求原创，语言简洁、描述清晰，所使用的视频、图片、文字等不侵犯他人合法权益。</w:t>
      </w:r>
    </w:p>
    <w:p>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6、嘉宾邀请方向：要根据提供的符合开讲主题的选题方向，提供拟邀请相关领域的专家、国内知名作家、</w:t>
      </w:r>
      <w:r>
        <w:rPr>
          <w:rFonts w:hint="eastAsia" w:ascii="仿宋_GB2312" w:hAnsi="宋体" w:eastAsia="仿宋_GB2312" w:cs="宋体"/>
          <w:color w:val="000000"/>
          <w:kern w:val="0"/>
          <w:sz w:val="32"/>
          <w:szCs w:val="32"/>
          <w:lang w:eastAsia="zh-CN"/>
        </w:rPr>
        <w:t>阅读推广人、文化学者</w:t>
      </w:r>
      <w:r>
        <w:rPr>
          <w:rFonts w:hint="eastAsia" w:ascii="仿宋_GB2312" w:hAnsi="宋体" w:eastAsia="仿宋_GB2312" w:cs="宋体"/>
          <w:color w:val="000000"/>
          <w:kern w:val="0"/>
          <w:sz w:val="32"/>
          <w:szCs w:val="32"/>
        </w:rPr>
        <w:t>等</w:t>
      </w:r>
      <w:r>
        <w:rPr>
          <w:rFonts w:hint="eastAsia" w:ascii="仿宋_GB2312" w:hAnsi="宋体" w:eastAsia="仿宋_GB2312" w:cs="宋体"/>
          <w:color w:val="000000"/>
          <w:kern w:val="0"/>
          <w:sz w:val="32"/>
          <w:szCs w:val="32"/>
          <w:lang w:eastAsia="zh-CN"/>
        </w:rPr>
        <w:t>讲师名单。活动开展前</w:t>
      </w:r>
      <w:r>
        <w:rPr>
          <w:rFonts w:hint="eastAsia" w:ascii="仿宋_GB2312" w:hAnsi="宋体" w:eastAsia="仿宋_GB2312" w:cs="宋体"/>
          <w:color w:val="000000"/>
          <w:kern w:val="0"/>
          <w:sz w:val="32"/>
          <w:szCs w:val="32"/>
          <w:lang w:val="en-US" w:eastAsia="zh-CN"/>
        </w:rPr>
        <w:t>1个月</w:t>
      </w:r>
      <w:r>
        <w:rPr>
          <w:rFonts w:hint="eastAsia" w:ascii="仿宋_GB2312" w:hAnsi="宋体" w:eastAsia="仿宋_GB2312" w:cs="宋体"/>
          <w:color w:val="000000"/>
          <w:kern w:val="0"/>
          <w:sz w:val="32"/>
          <w:szCs w:val="32"/>
          <w:lang w:eastAsia="zh-CN"/>
        </w:rPr>
        <w:t>需提交初定邀请名单进行沟通和确认。</w:t>
      </w:r>
    </w:p>
    <w:p>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lang w:eastAsia="zh-CN"/>
        </w:rPr>
        <w:t>部分重点策划的活动：</w:t>
      </w:r>
      <w:r>
        <w:rPr>
          <w:rFonts w:hint="eastAsia" w:ascii="仿宋_GB2312" w:hAnsi="宋体" w:eastAsia="仿宋_GB2312" w:cs="宋体"/>
          <w:color w:val="000000"/>
          <w:kern w:val="0"/>
          <w:sz w:val="32"/>
          <w:szCs w:val="32"/>
          <w:lang w:val="en-US" w:eastAsia="zh-CN"/>
        </w:rPr>
        <w:t>4·23世界读书日</w:t>
      </w:r>
      <w:r>
        <w:rPr>
          <w:rFonts w:hint="eastAsia" w:ascii="仿宋_GB2312" w:hAnsi="宋体" w:eastAsia="仿宋_GB2312" w:cs="宋体"/>
          <w:color w:val="000000"/>
          <w:kern w:val="0"/>
          <w:sz w:val="32"/>
          <w:szCs w:val="32"/>
          <w:lang w:eastAsia="zh-CN"/>
        </w:rPr>
        <w:t>当月需保证开展两场以上的讲座活动，其中活动需邀请具有相关主题影响力的嘉宾；暑假（</w:t>
      </w:r>
      <w:r>
        <w:rPr>
          <w:rFonts w:hint="eastAsia" w:ascii="仿宋_GB2312" w:hAnsi="宋体" w:eastAsia="仿宋_GB2312" w:cs="宋体"/>
          <w:color w:val="000000"/>
          <w:kern w:val="0"/>
          <w:sz w:val="32"/>
          <w:szCs w:val="32"/>
          <w:lang w:val="en-US" w:eastAsia="zh-CN"/>
        </w:rPr>
        <w:t>7月-9月）</w:t>
      </w:r>
      <w:r>
        <w:rPr>
          <w:rFonts w:hint="eastAsia" w:ascii="仿宋_GB2312" w:hAnsi="宋体" w:eastAsia="仿宋_GB2312" w:cs="宋体"/>
          <w:color w:val="000000"/>
          <w:kern w:val="0"/>
          <w:sz w:val="32"/>
          <w:szCs w:val="32"/>
          <w:lang w:eastAsia="zh-CN"/>
        </w:rPr>
        <w:t>期间开展至少两场针对青少年相关主题讲座，邀请教育界知名专家学者；传统节日期间开展相应主题讲座。</w:t>
      </w:r>
    </w:p>
    <w:p>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8、活动主题审核：活动开展前需至少提前两周将单场活动的实施方案、活动课件和嘉宾资质件情况等相关资料提交给甲方举办讲座主题审核。</w:t>
      </w:r>
    </w:p>
    <w:p>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9、活动现场布置：需按要求完成现场背景、氛围的营造，提前做好人员座位安排、茶水冲泡等相关会务的准备。</w:t>
      </w:r>
    </w:p>
    <w:p>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10、活动事后推广及调查反馈：活动结束后需提交活动回顾内容（包含初步视频影像、音频、活动照片和全程活动的文字稿），全年提供一套剪辑完整的影像视频、word文字稿及参与人员活动满意度调查反馈。</w:t>
      </w:r>
    </w:p>
    <w:p>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11、如遇不可抗力因素，根据实际情况及时调整安排：活动随时由原线下线上同步活动转为线上直播活动，活动主题内容不得随意变更（除从省外专门邀请的嘉宾外）。</w:t>
      </w:r>
    </w:p>
    <w:p>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12、活动嘉宾著作的购买，提供嘉宾签名册作馆内收藏，需提供书目清单，每场提供相关活动用书10册（其中光明区图书馆收藏7本与现场互动奖励3本）。</w:t>
      </w:r>
    </w:p>
    <w:p>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13、24期活动中至少有两场活动需邀请深圳市外嘉宾，需安排嘉宾的相关接待。</w:t>
      </w:r>
    </w:p>
    <w:p>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default" w:eastAsia="仿宋_GB2312"/>
          <w:lang w:val="en-US" w:eastAsia="zh-CN"/>
        </w:rPr>
      </w:pPr>
      <w:r>
        <w:rPr>
          <w:rFonts w:hint="eastAsia" w:ascii="仿宋_GB2312" w:hAnsi="宋体" w:eastAsia="仿宋_GB2312" w:cs="宋体"/>
          <w:color w:val="000000"/>
          <w:kern w:val="0"/>
          <w:sz w:val="32"/>
          <w:szCs w:val="32"/>
          <w:lang w:val="en-US" w:eastAsia="zh-CN"/>
        </w:rPr>
        <w:t>14、</w:t>
      </w:r>
      <w:r>
        <w:rPr>
          <w:rFonts w:hint="eastAsia" w:ascii="仿宋_GB2312" w:hAnsi="宋体" w:eastAsia="仿宋_GB2312" w:cs="宋体"/>
          <w:color w:val="000000"/>
          <w:kern w:val="0"/>
          <w:sz w:val="32"/>
          <w:szCs w:val="32"/>
        </w:rPr>
        <w:t>每个项目均需有详细的小项目单价</w:t>
      </w:r>
      <w:r>
        <w:rPr>
          <w:rFonts w:hint="eastAsia" w:ascii="仿宋_GB2312" w:hAnsi="宋体" w:eastAsia="仿宋_GB2312" w:cs="宋体"/>
          <w:color w:val="000000"/>
          <w:kern w:val="0"/>
          <w:sz w:val="32"/>
          <w:szCs w:val="32"/>
          <w:lang w:eastAsia="zh-CN"/>
        </w:rPr>
        <w:t>（细项、分项报价）</w:t>
      </w:r>
      <w:r>
        <w:rPr>
          <w:rFonts w:hint="eastAsia" w:ascii="仿宋_GB2312" w:hAnsi="宋体" w:eastAsia="仿宋_GB2312" w:cs="宋体"/>
          <w:color w:val="000000"/>
          <w:kern w:val="0"/>
          <w:sz w:val="32"/>
          <w:szCs w:val="32"/>
        </w:rPr>
        <w:t>，不接受</w:t>
      </w:r>
      <w:r>
        <w:rPr>
          <w:rFonts w:hint="eastAsia" w:ascii="仿宋_GB2312" w:hAnsi="宋体" w:eastAsia="仿宋_GB2312" w:cs="宋体"/>
          <w:color w:val="000000"/>
          <w:kern w:val="0"/>
          <w:sz w:val="32"/>
          <w:szCs w:val="32"/>
          <w:lang w:eastAsia="zh-CN"/>
        </w:rPr>
        <w:t>只有</w:t>
      </w:r>
      <w:r>
        <w:rPr>
          <w:rFonts w:hint="eastAsia" w:ascii="仿宋_GB2312" w:hAnsi="宋体" w:eastAsia="仿宋_GB2312" w:cs="宋体"/>
          <w:color w:val="000000"/>
          <w:kern w:val="0"/>
          <w:sz w:val="32"/>
          <w:szCs w:val="32"/>
        </w:rPr>
        <w:t>一个大项目报一个总价</w:t>
      </w:r>
      <w:r>
        <w:rPr>
          <w:rFonts w:hint="eastAsia" w:ascii="仿宋_GB2312" w:hAnsi="宋体" w:eastAsia="仿宋_GB2312" w:cs="宋体"/>
          <w:color w:val="000000"/>
          <w:kern w:val="0"/>
          <w:sz w:val="32"/>
          <w:szCs w:val="32"/>
          <w:lang w:eastAsia="zh-CN"/>
        </w:rPr>
        <w:t>。</w:t>
      </w:r>
    </w:p>
    <w:p>
      <w:pPr>
        <w:pStyle w:val="2"/>
        <w:spacing w:line="560" w:lineRule="atLeast"/>
        <w:ind w:firstLine="640" w:firstLineChars="200"/>
        <w:rPr>
          <w:rFonts w:hint="default" w:ascii="仿宋_GB2312" w:hAnsi="宋体" w:eastAsia="仿宋_GB2312" w:cs="宋体"/>
          <w:kern w:val="0"/>
          <w:sz w:val="32"/>
          <w:szCs w:val="32"/>
          <w:lang w:val="en-US"/>
        </w:rPr>
      </w:pPr>
      <w:r>
        <w:rPr>
          <w:rFonts w:hint="eastAsia" w:ascii="黑体" w:hAnsi="黑体" w:eastAsia="黑体" w:cs="黑体"/>
          <w:kern w:val="0"/>
          <w:sz w:val="32"/>
          <w:szCs w:val="32"/>
          <w:lang w:val="en-US" w:eastAsia="zh-CN" w:bidi="ar-SA"/>
        </w:rPr>
        <w:t>三、招标原则：</w:t>
      </w:r>
      <w:r>
        <w:rPr>
          <w:rFonts w:hint="eastAsia" w:ascii="仿宋_GB2312" w:hAnsi="仿宋_GB2312" w:eastAsia="仿宋_GB2312" w:cs="仿宋_GB2312"/>
          <w:color w:val="000000"/>
          <w:sz w:val="32"/>
          <w:szCs w:val="32"/>
          <w:lang w:val="en-US" w:eastAsia="zh-CN"/>
        </w:rPr>
        <w:t>公平、公正、公开</w:t>
      </w:r>
    </w:p>
    <w:p>
      <w:pPr>
        <w:keepNext w:val="0"/>
        <w:keepLines w:val="0"/>
        <w:pageBreakBefore w:val="0"/>
        <w:widowControl/>
        <w:kinsoku/>
        <w:wordWrap/>
        <w:overflowPunct/>
        <w:topLinePunct w:val="0"/>
        <w:bidi w:val="0"/>
        <w:snapToGrid/>
        <w:spacing w:line="560" w:lineRule="atLeas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、供应商资格要求</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（1）投标人须是在中华人民共和国境内注册，具有独立法人资格或是具有独立承担民事责任的能力</w:t>
      </w:r>
      <w:r>
        <w:rPr>
          <w:rFonts w:hint="eastAsia" w:ascii="仿宋_GB2312" w:hAnsi="仿宋_GB2312" w:eastAsia="仿宋_GB2312" w:cs="仿宋_GB2312"/>
          <w:color w:val="auto"/>
          <w:kern w:val="0"/>
          <w:sz w:val="32"/>
          <w:szCs w:val="32"/>
          <w:lang w:eastAsia="zh-CN"/>
        </w:rPr>
        <w:t>的其他</w:t>
      </w:r>
      <w:r>
        <w:rPr>
          <w:rFonts w:hint="eastAsia" w:ascii="仿宋_GB2312" w:hAnsi="仿宋_GB2312" w:eastAsia="仿宋_GB2312" w:cs="仿宋_GB2312"/>
          <w:color w:val="auto"/>
          <w:kern w:val="0"/>
          <w:sz w:val="32"/>
          <w:szCs w:val="32"/>
        </w:rPr>
        <w:t>组织（提供营业执照复印件或事业单位法人证</w:t>
      </w:r>
      <w:r>
        <w:rPr>
          <w:rFonts w:hint="eastAsia" w:ascii="仿宋_GB2312" w:hAnsi="仿宋_GB2312" w:eastAsia="仿宋_GB2312" w:cs="仿宋_GB2312"/>
          <w:color w:val="auto"/>
          <w:kern w:val="0"/>
          <w:sz w:val="32"/>
          <w:szCs w:val="32"/>
          <w:lang w:eastAsia="zh-CN"/>
        </w:rPr>
        <w:t>明</w:t>
      </w:r>
      <w:r>
        <w:rPr>
          <w:rFonts w:hint="eastAsia" w:ascii="仿宋_GB2312" w:hAnsi="仿宋_GB2312" w:eastAsia="仿宋_GB2312" w:cs="仿宋_GB2312"/>
          <w:color w:val="auto"/>
          <w:kern w:val="0"/>
          <w:sz w:val="32"/>
          <w:szCs w:val="32"/>
        </w:rPr>
        <w:t>复印件，原件备查）且经营范围包含文化活动策划资质；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复印件，原件备查；</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（2）本项目不接受联合体投标，不允许分包、转包；</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（3）参与本项目投标前</w:t>
      </w:r>
      <w:r>
        <w:rPr>
          <w:rFonts w:hint="eastAsia" w:ascii="仿宋_GB2312" w:hAnsi="仿宋_GB2312" w:eastAsia="仿宋_GB2312" w:cs="仿宋_GB2312"/>
          <w:color w:val="auto"/>
          <w:kern w:val="0"/>
          <w:sz w:val="32"/>
          <w:szCs w:val="32"/>
          <w:lang w:eastAsia="zh-CN"/>
        </w:rPr>
        <w:t>两</w:t>
      </w:r>
      <w:r>
        <w:rPr>
          <w:rFonts w:hint="eastAsia" w:ascii="仿宋_GB2312" w:hAnsi="仿宋_GB2312" w:eastAsia="仿宋_GB2312" w:cs="仿宋_GB2312"/>
          <w:color w:val="auto"/>
          <w:kern w:val="0"/>
          <w:sz w:val="32"/>
          <w:szCs w:val="32"/>
        </w:rPr>
        <w:t>年内，在经营活动中没有重大违法记录（由供应商在《政府采购投标及履约承诺函》中作出声明）；</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（4）参与本项目政府采购活动时不存在被有关部门禁止参与政府采购活动且在有效期内的情况（由供应商在《政府采购投标及履约承诺函》中作出声明）；</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（5）具备《中华人民共和国政府采购法》第二十二条的条件（由供应商在《政府采购投标及履约承诺函》中作出声明）；</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（6）未被列入失信被执行人、重大税收违法案件当事人名单、政府采购严重违法失信行为记录名单（由供应商在《政府采购投标及履约承诺函》中作出声明）；</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单位负责人为同一人或者存在直接控股、管理关系的不同供应商，不得同时参加本项目采购活动（投标人须提供国家企业信用信息公示系统https://www.gsxt.gov.cn/index.html或机关赋码和事业单位登记管理网http://www.gjsy.gov.cn/sydwfrxxcx/或全国社会组织信用信息公示平台https://xxgs.chinanpo.mca.gov.cn/gsxt/newList网站截图）。</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、评标定标方法</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本项目采用综合评分法，得分最高的供应商即为中选供应商。</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六、中标条件：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lang w:eastAsia="zh-CN"/>
        </w:rPr>
        <w:t>）</w:t>
      </w:r>
      <w:r>
        <w:rPr>
          <w:rFonts w:hint="eastAsia" w:ascii="仿宋_GB2312" w:eastAsia="仿宋_GB2312" w:cs="宋体"/>
          <w:kern w:val="0"/>
          <w:sz w:val="32"/>
          <w:szCs w:val="32"/>
          <w:lang w:val="en-US" w:eastAsia="zh-CN"/>
        </w:rPr>
        <w:t>投标价格不超过预算价格。</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lang w:eastAsia="zh-CN"/>
        </w:rPr>
        <w:t>）</w:t>
      </w:r>
      <w:r>
        <w:rPr>
          <w:rFonts w:hint="eastAsia" w:ascii="仿宋_GB2312" w:eastAsia="仿宋_GB2312" w:cs="宋体"/>
          <w:kern w:val="0"/>
          <w:sz w:val="32"/>
          <w:szCs w:val="32"/>
          <w:lang w:val="en-US" w:eastAsia="zh-CN"/>
        </w:rPr>
        <w:t>资格审查合格。</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3" w:firstLineChars="200"/>
        <w:textAlignment w:val="auto"/>
        <w:rPr>
          <w:rFonts w:hint="default"/>
          <w:lang w:val="en-US" w:eastAsia="zh-CN"/>
        </w:rPr>
      </w:pPr>
      <w:r>
        <w:rPr>
          <w:rFonts w:hint="eastAsia" w:ascii="仿宋_GB2312" w:eastAsia="仿宋_GB2312" w:cs="宋体"/>
          <w:b/>
          <w:bCs/>
          <w:kern w:val="0"/>
          <w:sz w:val="32"/>
          <w:szCs w:val="32"/>
          <w:lang w:val="en-US" w:eastAsia="zh-CN"/>
        </w:rPr>
        <w:t>（三）</w:t>
      </w:r>
      <w:r>
        <w:rPr>
          <w:rFonts w:hint="eastAsia" w:ascii="仿宋_GB2312" w:hAnsi="宋体" w:eastAsia="仿宋_GB2312" w:cs="宋体"/>
          <w:b w:val="0"/>
          <w:bCs w:val="0"/>
          <w:kern w:val="0"/>
          <w:sz w:val="32"/>
          <w:szCs w:val="32"/>
          <w:lang w:val="en-US" w:eastAsia="zh-CN" w:bidi="zh-CN"/>
        </w:rPr>
        <w:t>符合性审查合格。</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lang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四</w:t>
      </w:r>
      <w:r>
        <w:rPr>
          <w:rFonts w:hint="eastAsia" w:ascii="楷体_GB2312" w:hAnsi="楷体_GB2312" w:eastAsia="楷体_GB2312" w:cs="楷体_GB2312"/>
          <w:kern w:val="0"/>
          <w:sz w:val="32"/>
          <w:szCs w:val="32"/>
          <w:lang w:eastAsia="zh-CN"/>
        </w:rPr>
        <w:t>）</w:t>
      </w:r>
      <w:r>
        <w:rPr>
          <w:rFonts w:hint="eastAsia" w:ascii="仿宋_GB2312" w:hAnsi="宋体" w:eastAsia="仿宋_GB2312" w:cs="宋体"/>
          <w:kern w:val="0"/>
          <w:sz w:val="32"/>
          <w:szCs w:val="32"/>
          <w:lang w:val="en-US" w:eastAsia="zh-CN"/>
        </w:rPr>
        <w:t>完全满足服务期限的要求。</w:t>
      </w:r>
    </w:p>
    <w:p>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、商务需求</w:t>
      </w:r>
    </w:p>
    <w:p>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服务期：</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日前完成</w:t>
      </w:r>
    </w:p>
    <w:p>
      <w:pPr>
        <w:widowControl/>
        <w:spacing w:line="560" w:lineRule="exact"/>
        <w:ind w:firstLine="640" w:firstLineChars="200"/>
        <w:jc w:val="left"/>
        <w:rPr>
          <w:rFonts w:hint="eastAsia" w:ascii="仿宋_GB2312" w:hAnsi="宋体" w:eastAsia="仿宋_GB2312" w:cs="宋体"/>
          <w:color w:val="0000FF"/>
          <w:kern w:val="0"/>
          <w:sz w:val="32"/>
          <w:szCs w:val="32"/>
          <w:lang w:eastAsia="zh-CN"/>
        </w:rPr>
      </w:pPr>
      <w:r>
        <w:rPr>
          <w:rFonts w:hint="eastAsia" w:ascii="楷体_GB2312" w:hAnsi="楷体_GB2312" w:eastAsia="楷体_GB2312" w:cs="楷体_GB2312"/>
          <w:kern w:val="0"/>
          <w:sz w:val="32"/>
          <w:szCs w:val="32"/>
        </w:rPr>
        <w:t>（二）交付地点：</w:t>
      </w:r>
      <w:r>
        <w:rPr>
          <w:rFonts w:hint="eastAsia" w:ascii="仿宋_GB2312" w:hAnsi="宋体" w:eastAsia="仿宋_GB2312" w:cs="宋体"/>
          <w:kern w:val="0"/>
          <w:sz w:val="32"/>
          <w:szCs w:val="32"/>
        </w:rPr>
        <w:t>深圳市光明区观光路</w:t>
      </w:r>
      <w:r>
        <w:rPr>
          <w:rFonts w:hint="eastAsia" w:ascii="仿宋_GB2312" w:hAnsi="宋体" w:eastAsia="仿宋_GB2312" w:cs="宋体"/>
          <w:kern w:val="0"/>
          <w:sz w:val="32"/>
          <w:szCs w:val="32"/>
          <w:lang w:val="en-US" w:eastAsia="zh-CN"/>
        </w:rPr>
        <w:t>34</w:t>
      </w:r>
      <w:r>
        <w:rPr>
          <w:rFonts w:hint="eastAsia" w:ascii="仿宋_GB2312" w:hAnsi="宋体" w:eastAsia="仿宋_GB2312" w:cs="宋体"/>
          <w:kern w:val="0"/>
          <w:sz w:val="32"/>
          <w:szCs w:val="32"/>
        </w:rPr>
        <w:t>88号光明区图书馆</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kern w:val="0"/>
          <w:sz w:val="32"/>
          <w:szCs w:val="32"/>
        </w:rPr>
        <w:t>（三）报价要求：</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1.投标供应商的报价不得高于项目预算。</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2.此费用为包干价，包含嘉宾劳务费、设计宣传、法定税费等全部费用。</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3.由投标供应商根据采购文件所提供的资料自行测算投标报价；一经中标，报价总价作为中标供应商与采购人</w:t>
      </w:r>
      <w:r>
        <w:rPr>
          <w:rFonts w:hint="eastAsia" w:ascii="仿宋_GB2312" w:hAnsi="仿宋_GB2312" w:eastAsia="仿宋_GB2312" w:cs="仿宋_GB2312"/>
          <w:color w:val="auto"/>
          <w:sz w:val="32"/>
          <w:szCs w:val="32"/>
          <w:lang w:eastAsia="zh-CN"/>
        </w:rPr>
        <w:t>签订的合同</w:t>
      </w:r>
      <w:r>
        <w:rPr>
          <w:rFonts w:hint="eastAsia" w:ascii="仿宋_GB2312" w:hAnsi="仿宋_GB2312" w:eastAsia="仿宋_GB2312" w:cs="仿宋_GB2312"/>
          <w:color w:val="auto"/>
          <w:sz w:val="32"/>
          <w:szCs w:val="32"/>
        </w:rPr>
        <w:t>金额，合同期限内</w:t>
      </w:r>
      <w:r>
        <w:rPr>
          <w:rFonts w:hint="eastAsia" w:ascii="仿宋_GB2312" w:hAnsi="仿宋_GB2312" w:eastAsia="仿宋_GB2312" w:cs="仿宋_GB2312"/>
          <w:color w:val="auto"/>
          <w:sz w:val="32"/>
          <w:szCs w:val="32"/>
          <w:lang w:eastAsia="zh-CN"/>
        </w:rPr>
        <w:t>不作</w:t>
      </w:r>
      <w:r>
        <w:rPr>
          <w:rFonts w:hint="eastAsia" w:ascii="仿宋_GB2312" w:hAnsi="仿宋_GB2312" w:eastAsia="仿宋_GB2312" w:cs="仿宋_GB2312"/>
          <w:color w:val="auto"/>
          <w:sz w:val="32"/>
          <w:szCs w:val="32"/>
        </w:rPr>
        <w:t>调整。</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4.提交报价人员如非法定代表人，则需法定代表人提供授权委托证明。</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除非采购人通过修改采购文件予以更正，否则，投标供应商应毫无例外地按响应文件所列的清单中项目和数量填报综合单价和合价。投标供应商未填综合单价或合价的项目，在实施后，将不得支付，并视作该项费用已包括在其它有价款的综合单价或合价内。</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7.投标供应商应先到项目地点踏勘以充分了解项目的位置、情况、道路及</w:t>
      </w:r>
      <w:r>
        <w:rPr>
          <w:rFonts w:hint="eastAsia" w:ascii="仿宋_GB2312" w:hAnsi="仿宋_GB2312" w:eastAsia="仿宋_GB2312" w:cs="仿宋_GB2312"/>
          <w:color w:val="auto"/>
          <w:sz w:val="32"/>
          <w:szCs w:val="32"/>
          <w:lang w:eastAsia="zh-CN"/>
        </w:rPr>
        <w:t>任何其他</w:t>
      </w:r>
      <w:r>
        <w:rPr>
          <w:rFonts w:hint="eastAsia" w:ascii="仿宋_GB2312" w:hAnsi="仿宋_GB2312" w:eastAsia="仿宋_GB2312" w:cs="仿宋_GB2312"/>
          <w:color w:val="auto"/>
          <w:sz w:val="32"/>
          <w:szCs w:val="32"/>
        </w:rPr>
        <w:t>足以影响投标报价的情况，任何因忽视或误解项目情况而导致的索赔或服务期限延长申请将不获批准。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kern w:val="0"/>
          <w:sz w:val="32"/>
          <w:szCs w:val="32"/>
        </w:rPr>
        <w:t>（四）付款方式：</w:t>
      </w:r>
      <w:r>
        <w:rPr>
          <w:rFonts w:hint="eastAsia" w:ascii="仿宋_GB2312" w:hAnsi="仿宋" w:eastAsia="仿宋_GB2312" w:cs="仿宋"/>
          <w:color w:val="auto"/>
          <w:sz w:val="32"/>
          <w:szCs w:val="32"/>
        </w:rPr>
        <w:t>根据区财政和采购单位财务管理要求执行。</w:t>
      </w:r>
    </w:p>
    <w:p>
      <w:pPr>
        <w:spacing w:line="578"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五</w:t>
      </w:r>
      <w:r>
        <w:rPr>
          <w:rFonts w:hint="eastAsia" w:ascii="楷体_GB2312" w:hAnsi="楷体_GB2312" w:eastAsia="楷体_GB2312" w:cs="楷体_GB2312"/>
          <w:kern w:val="0"/>
          <w:sz w:val="32"/>
          <w:szCs w:val="32"/>
        </w:rPr>
        <w:t>）违约责任：</w:t>
      </w:r>
      <w:r>
        <w:rPr>
          <w:rFonts w:hint="eastAsia" w:ascii="仿宋_GB2312" w:hAnsi="仿宋_GB2312" w:eastAsia="仿宋_GB2312" w:cs="仿宋_GB2312"/>
          <w:color w:val="auto"/>
          <w:sz w:val="32"/>
          <w:szCs w:val="32"/>
        </w:rPr>
        <w:t>供应商未按照合同约定完成服务内容，应向</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方返还已收取的服务总费用，并向</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方支付服务总费用20%的违约金。</w:t>
      </w:r>
    </w:p>
    <w:p>
      <w:pPr>
        <w:spacing w:line="578"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kern w:val="0"/>
          <w:sz w:val="32"/>
          <w:szCs w:val="32"/>
          <w:lang w:eastAsia="zh-CN"/>
        </w:rPr>
        <w:t>（六）</w:t>
      </w:r>
      <w:r>
        <w:rPr>
          <w:rFonts w:hint="eastAsia" w:ascii="楷体_GB2312" w:hAnsi="楷体_GB2312" w:eastAsia="楷体_GB2312" w:cs="楷体_GB2312"/>
          <w:kern w:val="0"/>
          <w:sz w:val="32"/>
          <w:szCs w:val="32"/>
        </w:rPr>
        <w:t>陪标责任</w:t>
      </w:r>
      <w:r>
        <w:rPr>
          <w:rFonts w:hint="eastAsia" w:ascii="楷体_GB2312" w:hAnsi="楷体_GB2312" w:eastAsia="楷体_GB2312" w:cs="楷体_GB2312"/>
          <w:kern w:val="0"/>
          <w:sz w:val="32"/>
          <w:szCs w:val="32"/>
          <w:lang w:eastAsia="zh-CN"/>
        </w:rPr>
        <w:t>：</w:t>
      </w:r>
      <w:r>
        <w:rPr>
          <w:rFonts w:hint="eastAsia" w:ascii="仿宋_GB2312" w:hAnsi="仿宋_GB2312" w:eastAsia="仿宋_GB2312" w:cs="仿宋_GB2312"/>
          <w:color w:val="auto"/>
          <w:sz w:val="32"/>
          <w:szCs w:val="32"/>
        </w:rPr>
        <w:t>此项目不接受关联供应商同时投标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经查发现存在陪标现象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取消本次所有参标资格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并按相关规定进行上报和追责。</w:t>
      </w:r>
    </w:p>
    <w:p>
      <w:pPr>
        <w:spacing w:line="578"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七</w:t>
      </w:r>
      <w:r>
        <w:rPr>
          <w:rFonts w:hint="eastAsia" w:ascii="楷体_GB2312" w:hAnsi="楷体_GB2312" w:eastAsia="楷体_GB2312" w:cs="楷体_GB2312"/>
          <w:kern w:val="0"/>
          <w:sz w:val="32"/>
          <w:szCs w:val="32"/>
        </w:rPr>
        <w:t>）警示条款：</w:t>
      </w:r>
      <w:r>
        <w:rPr>
          <w:rFonts w:hint="eastAsia" w:ascii="仿宋_GB2312" w:hAnsi="仿宋_GB2312" w:eastAsia="仿宋_GB2312" w:cs="仿宋_GB2312"/>
          <w:color w:val="auto"/>
          <w:sz w:val="32"/>
          <w:szCs w:val="32"/>
        </w:rPr>
        <w:t>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widowControl/>
        <w:spacing w:line="560" w:lineRule="exact"/>
        <w:ind w:firstLine="0" w:firstLineChars="0"/>
        <w:jc w:val="left"/>
        <w:rPr>
          <w:rFonts w:hint="eastAsia" w:ascii="仿宋" w:hAnsi="仿宋" w:eastAsia="仿宋"/>
          <w:sz w:val="32"/>
          <w:szCs w:val="32"/>
          <w:lang w:val="en-US" w:eastAsia="zh-CN"/>
        </w:rPr>
      </w:pPr>
    </w:p>
    <w:p>
      <w:pPr>
        <w:widowControl/>
        <w:spacing w:line="560" w:lineRule="exact"/>
        <w:ind w:firstLine="3200" w:firstLineChars="10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深圳市光明区公共文化艺术和体育中心</w:t>
      </w:r>
    </w:p>
    <w:p>
      <w:pPr>
        <w:pStyle w:val="3"/>
      </w:pPr>
      <w:r>
        <w:rPr>
          <w:rFonts w:hint="eastAsia" w:ascii="仿宋" w:hAnsi="仿宋" w:eastAsia="仿宋"/>
          <w:sz w:val="32"/>
          <w:szCs w:val="32"/>
          <w:lang w:val="en-US" w:eastAsia="zh-CN"/>
        </w:rPr>
        <w:t xml:space="preserve">                                      </w:t>
      </w:r>
      <w:r>
        <w:rPr>
          <w:rFonts w:hint="eastAsia" w:ascii="仿宋_GB2312" w:hAnsi="宋体" w:eastAsia="仿宋_GB2312" w:cs="宋体"/>
          <w:b/>
          <w:bCs/>
          <w:color w:val="auto"/>
          <w:kern w:val="0"/>
          <w:sz w:val="32"/>
          <w:szCs w:val="32"/>
          <w:lang w:val="en-US" w:eastAsia="zh-CN" w:bidi="ar-SA"/>
        </w:rPr>
        <w:t xml:space="preserve"> </w:t>
      </w:r>
      <w:r>
        <w:rPr>
          <w:rFonts w:hint="eastAsia" w:ascii="仿宋_GB2312" w:eastAsia="仿宋_GB2312" w:cs="宋体"/>
          <w:b/>
          <w:bCs/>
          <w:color w:val="auto"/>
          <w:kern w:val="0"/>
          <w:sz w:val="32"/>
          <w:szCs w:val="32"/>
          <w:lang w:val="en-US" w:eastAsia="zh-CN" w:bidi="ar-SA"/>
        </w:rPr>
        <w:t xml:space="preserve"> </w:t>
      </w:r>
      <w:r>
        <w:rPr>
          <w:rFonts w:hint="eastAsia" w:ascii="仿宋_GB2312" w:hAnsi="宋体" w:eastAsia="仿宋_GB2312" w:cs="宋体"/>
          <w:kern w:val="0"/>
          <w:sz w:val="32"/>
          <w:szCs w:val="32"/>
          <w:lang w:val="en-US" w:eastAsia="zh-CN" w:bidi="ar-SA"/>
        </w:rPr>
        <w:t>202</w:t>
      </w:r>
      <w:r>
        <w:rPr>
          <w:rFonts w:hint="eastAsia" w:ascii="仿宋_GB2312" w:eastAsia="仿宋_GB2312" w:cs="宋体"/>
          <w:kern w:val="0"/>
          <w:sz w:val="32"/>
          <w:szCs w:val="32"/>
          <w:lang w:val="en-US" w:eastAsia="zh-CN" w:bidi="ar-SA"/>
        </w:rPr>
        <w:t>4</w:t>
      </w:r>
      <w:r>
        <w:rPr>
          <w:rFonts w:hint="eastAsia" w:ascii="仿宋_GB2312" w:hAnsi="宋体" w:eastAsia="仿宋_GB2312" w:cs="宋体"/>
          <w:kern w:val="0"/>
          <w:sz w:val="32"/>
          <w:szCs w:val="32"/>
          <w:lang w:val="en-US" w:eastAsia="zh-CN" w:bidi="ar-SA"/>
        </w:rPr>
        <w:t>年</w:t>
      </w:r>
      <w:r>
        <w:rPr>
          <w:rFonts w:hint="eastAsia" w:ascii="仿宋_GB2312" w:eastAsia="仿宋_GB2312" w:cs="宋体"/>
          <w:kern w:val="0"/>
          <w:sz w:val="32"/>
          <w:szCs w:val="32"/>
          <w:lang w:val="en-US" w:eastAsia="zh-CN" w:bidi="ar-SA"/>
        </w:rPr>
        <w:t>9</w:t>
      </w:r>
      <w:r>
        <w:rPr>
          <w:rFonts w:hint="eastAsia" w:ascii="仿宋_GB2312" w:hAnsi="宋体" w:eastAsia="仿宋_GB2312" w:cs="宋体"/>
          <w:kern w:val="0"/>
          <w:sz w:val="32"/>
          <w:szCs w:val="32"/>
          <w:lang w:val="en-US" w:eastAsia="zh-CN" w:bidi="ar-SA"/>
        </w:rPr>
        <w:t>月</w:t>
      </w:r>
      <w:r>
        <w:rPr>
          <w:rFonts w:hint="eastAsia" w:ascii="仿宋_GB2312" w:eastAsia="仿宋_GB2312" w:cs="宋体"/>
          <w:kern w:val="0"/>
          <w:sz w:val="32"/>
          <w:szCs w:val="32"/>
          <w:lang w:val="en-US" w:eastAsia="zh-CN" w:bidi="ar-SA"/>
        </w:rPr>
        <w:t>18</w:t>
      </w:r>
      <w:r>
        <w:rPr>
          <w:rFonts w:hint="eastAsia" w:ascii="仿宋_GB2312" w:hAnsi="宋体" w:eastAsia="仿宋_GB2312" w:cs="宋体"/>
          <w:kern w:val="0"/>
          <w:sz w:val="32"/>
          <w:szCs w:val="32"/>
          <w:lang w:val="en-US" w:eastAsia="zh-CN" w:bidi="ar-SA"/>
        </w:rPr>
        <w:t>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隶书">
    <w:altName w:val="微软雅黑"/>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C986B9C"/>
    <w:rsid w:val="01533256"/>
    <w:rsid w:val="01971C3C"/>
    <w:rsid w:val="03E14498"/>
    <w:rsid w:val="055F7A89"/>
    <w:rsid w:val="05D350C3"/>
    <w:rsid w:val="072342DE"/>
    <w:rsid w:val="091A588A"/>
    <w:rsid w:val="0B6073E4"/>
    <w:rsid w:val="0C164E08"/>
    <w:rsid w:val="0C554158"/>
    <w:rsid w:val="0DA50831"/>
    <w:rsid w:val="10384F95"/>
    <w:rsid w:val="11F53F52"/>
    <w:rsid w:val="12B131BE"/>
    <w:rsid w:val="12CD2F0D"/>
    <w:rsid w:val="13FF2FDC"/>
    <w:rsid w:val="18313422"/>
    <w:rsid w:val="18354A45"/>
    <w:rsid w:val="19023A07"/>
    <w:rsid w:val="1A953E60"/>
    <w:rsid w:val="1B7C0612"/>
    <w:rsid w:val="1C773148"/>
    <w:rsid w:val="1C986B9C"/>
    <w:rsid w:val="1CAE64AD"/>
    <w:rsid w:val="1D44763F"/>
    <w:rsid w:val="1E8A754A"/>
    <w:rsid w:val="223274F8"/>
    <w:rsid w:val="237D2083"/>
    <w:rsid w:val="27C02172"/>
    <w:rsid w:val="2B590213"/>
    <w:rsid w:val="2B6F6A2E"/>
    <w:rsid w:val="2BC2643A"/>
    <w:rsid w:val="2FFE713F"/>
    <w:rsid w:val="31CF196F"/>
    <w:rsid w:val="329507AF"/>
    <w:rsid w:val="34E67898"/>
    <w:rsid w:val="350A17D9"/>
    <w:rsid w:val="351E5ACF"/>
    <w:rsid w:val="35AF6DBF"/>
    <w:rsid w:val="36043975"/>
    <w:rsid w:val="36FE7B21"/>
    <w:rsid w:val="3847438B"/>
    <w:rsid w:val="387E2728"/>
    <w:rsid w:val="38B30883"/>
    <w:rsid w:val="39A95D0C"/>
    <w:rsid w:val="3A6A35C8"/>
    <w:rsid w:val="3B1E0901"/>
    <w:rsid w:val="3B7856EF"/>
    <w:rsid w:val="3D0A2657"/>
    <w:rsid w:val="3E866598"/>
    <w:rsid w:val="3F8844F1"/>
    <w:rsid w:val="3FCD2BE6"/>
    <w:rsid w:val="412443C9"/>
    <w:rsid w:val="43256A94"/>
    <w:rsid w:val="435716A3"/>
    <w:rsid w:val="43B74932"/>
    <w:rsid w:val="45875A00"/>
    <w:rsid w:val="466A180E"/>
    <w:rsid w:val="4B8512CD"/>
    <w:rsid w:val="504F3F4F"/>
    <w:rsid w:val="53AC593A"/>
    <w:rsid w:val="540F32CC"/>
    <w:rsid w:val="544130FE"/>
    <w:rsid w:val="54806595"/>
    <w:rsid w:val="552E2002"/>
    <w:rsid w:val="55F10036"/>
    <w:rsid w:val="56340DBB"/>
    <w:rsid w:val="56354DF3"/>
    <w:rsid w:val="56D32239"/>
    <w:rsid w:val="56DB1EBF"/>
    <w:rsid w:val="574338DA"/>
    <w:rsid w:val="575351D3"/>
    <w:rsid w:val="57D6389F"/>
    <w:rsid w:val="5AF404FC"/>
    <w:rsid w:val="5C0C4A24"/>
    <w:rsid w:val="5CCB3C9D"/>
    <w:rsid w:val="5D705F97"/>
    <w:rsid w:val="5E1E776F"/>
    <w:rsid w:val="5EE94488"/>
    <w:rsid w:val="5F787B8D"/>
    <w:rsid w:val="5FDA6962"/>
    <w:rsid w:val="652247FE"/>
    <w:rsid w:val="658D651F"/>
    <w:rsid w:val="67114F39"/>
    <w:rsid w:val="67524722"/>
    <w:rsid w:val="69AD0AAF"/>
    <w:rsid w:val="69F1661D"/>
    <w:rsid w:val="6D3C52B4"/>
    <w:rsid w:val="6E2825BD"/>
    <w:rsid w:val="704473D8"/>
    <w:rsid w:val="71B363DF"/>
    <w:rsid w:val="75826340"/>
    <w:rsid w:val="76086F57"/>
    <w:rsid w:val="779E55CB"/>
    <w:rsid w:val="78850BCA"/>
    <w:rsid w:val="7A0C00F4"/>
    <w:rsid w:val="7A552C46"/>
    <w:rsid w:val="7B220D5B"/>
    <w:rsid w:val="7D135BF6"/>
    <w:rsid w:val="7DBB4122"/>
    <w:rsid w:val="7F6A4448"/>
    <w:rsid w:val="7FB23889"/>
    <w:rsid w:val="8A4F2621"/>
    <w:rsid w:val="E5EB5D54"/>
    <w:rsid w:val="EEFFB97C"/>
    <w:rsid w:val="FBFD9967"/>
    <w:rsid w:val="FFED3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style>
  <w:style w:type="paragraph" w:styleId="3">
    <w:name w:val="Body Text"/>
    <w:basedOn w:val="1"/>
    <w:qFormat/>
    <w:uiPriority w:val="1"/>
    <w:pPr>
      <w:autoSpaceDE w:val="0"/>
      <w:autoSpaceDN w:val="0"/>
      <w:jc w:val="left"/>
    </w:pPr>
    <w:rPr>
      <w:rFonts w:ascii="宋体" w:hAnsi="宋体" w:eastAsia="宋体" w:cs="宋体"/>
      <w:kern w:val="0"/>
      <w:sz w:val="21"/>
      <w:szCs w:val="21"/>
      <w:lang w:val="zh-CN" w:bidi="zh-CN"/>
    </w:rPr>
  </w:style>
  <w:style w:type="paragraph" w:styleId="4">
    <w:name w:val="Normal Indent"/>
    <w:basedOn w:val="1"/>
    <w:next w:val="3"/>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next w:val="1"/>
    <w:qFormat/>
    <w:uiPriority w:val="0"/>
    <w:pPr>
      <w:spacing w:before="240" w:after="60"/>
      <w:jc w:val="center"/>
      <w:outlineLvl w:val="0"/>
    </w:pPr>
    <w:rPr>
      <w:rFonts w:ascii="Arial" w:hAnsi="Arial" w:eastAsia="隶书" w:cs="Arial"/>
      <w:b/>
      <w:bCs/>
      <w:sz w:val="32"/>
      <w:szCs w:val="32"/>
    </w:rPr>
  </w:style>
  <w:style w:type="paragraph" w:customStyle="1" w:styleId="9">
    <w:name w:val="标书正文1"/>
    <w:basedOn w:val="1"/>
    <w:qFormat/>
    <w:uiPriority w:val="0"/>
    <w:pPr>
      <w:spacing w:line="520" w:lineRule="exact"/>
      <w:ind w:firstLine="640" w:firstLineChars="200"/>
    </w:pPr>
    <w:rPr>
      <w:rFonts w:ascii="Times New Roman" w:hAnsi="Times New Roman" w:eastAsia="宋体"/>
    </w:rPr>
  </w:style>
  <w:style w:type="paragraph" w:customStyle="1" w:styleId="10">
    <w:name w:val="*正文"/>
    <w:basedOn w:val="1"/>
    <w:qFormat/>
    <w:uiPriority w:val="0"/>
    <w:pPr>
      <w:widowControl/>
      <w:spacing w:line="360" w:lineRule="auto"/>
      <w:ind w:firstLine="200" w:firstLineChars="200"/>
      <w:jc w:val="left"/>
    </w:pPr>
    <w:rPr>
      <w:rFonts w:ascii="仿宋_GB2312" w:hAnsi="Calibri" w:eastAsia="宋体" w:cs="Times New Roman"/>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3328</Words>
  <Characters>3513</Characters>
  <Lines>0</Lines>
  <Paragraphs>0</Paragraphs>
  <TotalTime>2</TotalTime>
  <ScaleCrop>false</ScaleCrop>
  <LinksUpToDate>false</LinksUpToDate>
  <CharactersWithSpaces>3563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2022-06-12T10:25:00Z</dcterms:created>
  <dc:creator>李琼</dc:creator>
  <cp:lastModifiedBy> 许德寿.</cp:lastModifiedBy>
  <dcterms:modified xsi:type="dcterms:W3CDTF">2024-09-18T08:51:09Z</dcterms:modified>
  <dc:title>第二十三届深圳读书月光明区系列活动采购需求书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09258C95B7304D588CB6FFC7F0BE2ADB_13</vt:lpwstr>
  </property>
</Properties>
</file>