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b/>
          <w:bCs/>
          <w:sz w:val="44"/>
          <w:szCs w:val="44"/>
          <w:lang w:val="en-US" w:eastAsia="zh-CN"/>
        </w:rPr>
      </w:pPr>
      <w:bookmarkStart w:id="0" w:name="_GoBack"/>
      <w:r>
        <w:rPr>
          <w:rFonts w:hint="eastAsia" w:ascii="宋体" w:hAnsi="宋体" w:eastAsia="宋体" w:cs="宋体"/>
          <w:b/>
          <w:bCs/>
          <w:sz w:val="44"/>
          <w:szCs w:val="44"/>
          <w:lang w:val="en-US" w:eastAsia="zh-CN"/>
        </w:rPr>
        <w:t>光明</w:t>
      </w:r>
      <w:r>
        <w:rPr>
          <w:rFonts w:hint="eastAsia" w:ascii="宋体" w:hAnsi="宋体" w:cs="宋体"/>
          <w:b/>
          <w:bCs/>
          <w:sz w:val="44"/>
          <w:szCs w:val="44"/>
          <w:lang w:val="en-US" w:eastAsia="zh-CN"/>
        </w:rPr>
        <w:t>区业余体育学校功能房及其配套空间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sz w:val="44"/>
          <w:szCs w:val="44"/>
          <w:lang w:val="en-US" w:eastAsia="zh-CN"/>
        </w:rPr>
      </w:pPr>
      <w:r>
        <w:rPr>
          <w:rFonts w:hint="eastAsia" w:ascii="宋体" w:hAnsi="宋体" w:cs="宋体"/>
          <w:b/>
          <w:bCs/>
          <w:sz w:val="44"/>
          <w:szCs w:val="44"/>
          <w:lang w:val="en-US" w:eastAsia="zh-CN"/>
        </w:rPr>
        <w:t>修缮提升项目</w:t>
      </w:r>
      <w:r>
        <w:rPr>
          <w:rFonts w:hint="eastAsia" w:ascii="宋体" w:hAnsi="宋体" w:eastAsia="宋体"/>
          <w:b/>
          <w:sz w:val="44"/>
          <w:szCs w:val="44"/>
          <w:lang w:val="en-US" w:eastAsia="zh-CN"/>
        </w:rPr>
        <w:t>采购需求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一、项目概况</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lang w:val="en-US" w:eastAsia="zh-CN"/>
        </w:rPr>
        <w:t>采购项目名称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光明区业余体育学校功能房及其配套空间修缮提升项目。</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项目</w:t>
      </w:r>
      <w:r>
        <w:rPr>
          <w:rFonts w:hint="eastAsia" w:ascii="仿宋_GB2312" w:hAnsi="仿宋_GB2312" w:eastAsia="仿宋_GB2312" w:cs="仿宋_GB2312"/>
          <w:color w:val="auto"/>
          <w:kern w:val="0"/>
          <w:sz w:val="32"/>
          <w:szCs w:val="32"/>
          <w:lang w:val="en-US" w:eastAsia="zh-CN"/>
        </w:rPr>
        <w:t>内容：</w:t>
      </w:r>
      <w:r>
        <w:rPr>
          <w:rFonts w:hint="eastAsia" w:ascii="仿宋_GB2312" w:hAnsi="仿宋_GB2312" w:eastAsia="仿宋_GB2312" w:cs="仿宋_GB2312"/>
          <w:color w:val="000000"/>
          <w:sz w:val="32"/>
          <w:szCs w:val="32"/>
          <w:lang w:val="en-US" w:eastAsia="zh-CN"/>
        </w:rPr>
        <w:t>一楼大厅、过道、训练房墙壁修缮刷漆；训练房柱子包软包、灯光提升；训练房通风系统提升；荣誉墙提升；大门感应器更换；男女更衣室热水系统安装；更衣室安装储物柜，坐凳；一二楼卫生间门锁门框修缮、灯光提升；一楼饮水机修缮、二楼安装饮水机；一楼大门口处新增服务台；二楼功能房、过道、储物室灯光提升；二楼局部墙壁刷漆等。</w:t>
      </w:r>
    </w:p>
    <w:p>
      <w:pPr>
        <w:widowControl/>
        <w:spacing w:line="560" w:lineRule="exact"/>
        <w:ind w:firstLine="960" w:firstLineChars="300"/>
        <w:jc w:val="left"/>
        <w:rPr>
          <w:rFonts w:hint="eastAsia"/>
          <w:lang w:val="en-US" w:eastAsia="zh-CN"/>
        </w:rPr>
      </w:pPr>
      <w:r>
        <w:rPr>
          <w:rFonts w:hint="eastAsia" w:ascii="仿宋_GB2312" w:hAnsi="仿宋_GB2312" w:eastAsia="仿宋_GB2312" w:cs="仿宋_GB2312"/>
          <w:color w:val="auto"/>
          <w:kern w:val="0"/>
          <w:sz w:val="32"/>
          <w:szCs w:val="32"/>
          <w:lang w:val="en-US" w:eastAsia="zh-CN"/>
        </w:rPr>
        <w:t>（三）项目预算：20万元人民币（高于此价格无效）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（四）项目简介：</w:t>
      </w:r>
      <w:r>
        <w:rPr>
          <w:rFonts w:hint="eastAsia" w:ascii="仿宋_GB2312" w:hAnsi="仿宋_GB2312" w:eastAsia="仿宋_GB2312" w:cs="仿宋_GB2312"/>
          <w:color w:val="auto"/>
          <w:kern w:val="0"/>
          <w:sz w:val="32"/>
          <w:szCs w:val="32"/>
          <w:lang w:val="en-US" w:eastAsia="zh-CN"/>
        </w:rPr>
        <w:t>本次修缮提升项目旨在全面改善光明区业余体育学校各功能房设施和训练环境，完善相关配套空间功能布局，营造舒适、干净、光亮的训练环境。</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pPr>
      <w:r>
        <w:rPr>
          <w:rFonts w:hint="eastAsia" w:ascii="黑体" w:hAnsi="黑体" w:eastAsia="黑体" w:cs="仿宋"/>
          <w:color w:val="auto"/>
          <w:sz w:val="32"/>
          <w:szCs w:val="32"/>
          <w:lang w:eastAsia="zh-CN"/>
        </w:rPr>
        <w:t>二、</w:t>
      </w:r>
      <w:r>
        <w:rPr>
          <w:rFonts w:hint="eastAsia" w:ascii="黑体" w:hAnsi="黑体" w:eastAsia="黑体" w:cs="仿宋"/>
          <w:color w:val="auto"/>
          <w:sz w:val="32"/>
          <w:szCs w:val="32"/>
        </w:rPr>
        <w:t>项目管理和服务要求</w:t>
      </w: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1545"/>
        <w:gridCol w:w="6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pStyle w:val="4"/>
              <w:rPr>
                <w:rFonts w:hint="eastAsia" w:eastAsia="宋体"/>
                <w:lang w:val="en-US" w:eastAsia="zh-CN"/>
              </w:rPr>
            </w:pPr>
            <w:r>
              <w:rPr>
                <w:rFonts w:hint="eastAsia" w:ascii="仿宋_GB2312" w:hAnsi="仿宋_GB2312" w:eastAsia="仿宋_GB2312" w:cs="仿宋_GB2312"/>
                <w:b w:val="0"/>
                <w:bCs/>
                <w:kern w:val="0"/>
                <w:sz w:val="32"/>
                <w:szCs w:val="32"/>
                <w:lang w:eastAsia="zh-CN"/>
              </w:rPr>
              <w:t>序号</w:t>
            </w:r>
          </w:p>
        </w:tc>
        <w:tc>
          <w:tcPr>
            <w:tcW w:w="1545"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项目名称</w:t>
            </w:r>
          </w:p>
        </w:tc>
        <w:tc>
          <w:tcPr>
            <w:tcW w:w="6544" w:type="dxa"/>
            <w:vAlign w:val="center"/>
          </w:tcPr>
          <w:p>
            <w:pPr>
              <w:widowControl/>
              <w:jc w:val="center"/>
              <w:rPr>
                <w:rFonts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w:t>
            </w:r>
          </w:p>
        </w:tc>
        <w:tc>
          <w:tcPr>
            <w:tcW w:w="154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墙面刷漆</w:t>
            </w:r>
          </w:p>
        </w:tc>
        <w:tc>
          <w:tcPr>
            <w:tcW w:w="6544" w:type="dxa"/>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1、要求对原有墙面进行打磨后，再使用防水防潮腻子及乳胶漆，且油漆要有产品合格证明，甲醛等有害物质须符合国家标准要求；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2、墙面油漆需结合采购单位要求进行颜色氛围营造、图案设计等。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w:t>
            </w:r>
          </w:p>
        </w:tc>
        <w:tc>
          <w:tcPr>
            <w:tcW w:w="1545"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照明灯光</w:t>
            </w:r>
          </w:p>
        </w:tc>
        <w:tc>
          <w:tcPr>
            <w:tcW w:w="6544" w:type="dxa"/>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1、要求使用新款节能灯光，显色指数大于Ra90；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2、具备防炫目功能；</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3、平均照度不得低于300LX。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rPr>
              <w:t>训练房墙面软包</w:t>
            </w:r>
          </w:p>
        </w:tc>
        <w:tc>
          <w:tcPr>
            <w:tcW w:w="6544" w:type="dxa"/>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auto"/>
                <w:kern w:val="0"/>
                <w:sz w:val="32"/>
                <w:szCs w:val="32"/>
                <w:lang w:val="en-US" w:eastAsia="zh-CN"/>
              </w:rPr>
              <w:t>要求4公分以上厚度软包，稳固且耐用，材料具备防火阻燃的功能；颜色与训练房墙面颜色要搭配。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训练房通风系统</w:t>
            </w:r>
          </w:p>
        </w:tc>
        <w:tc>
          <w:tcPr>
            <w:tcW w:w="654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fill="auto"/>
                <w:lang w:eastAsia="zh-CN"/>
              </w:rPr>
              <w:t>通</w:t>
            </w:r>
            <w:r>
              <w:rPr>
                <w:rFonts w:hint="eastAsia" w:ascii="仿宋_GB2312" w:hAnsi="仿宋_GB2312" w:eastAsia="仿宋_GB2312" w:cs="仿宋_GB2312"/>
                <w:i w:val="0"/>
                <w:iCs w:val="0"/>
                <w:caps w:val="0"/>
                <w:color w:val="auto"/>
                <w:spacing w:val="0"/>
                <w:kern w:val="0"/>
                <w:sz w:val="32"/>
                <w:szCs w:val="32"/>
                <w:shd w:val="clear" w:fill="auto"/>
              </w:rPr>
              <w:t>风系统</w:t>
            </w:r>
            <w:r>
              <w:rPr>
                <w:rFonts w:hint="eastAsia" w:ascii="仿宋_GB2312" w:hAnsi="仿宋_GB2312" w:eastAsia="仿宋_GB2312" w:cs="仿宋_GB2312"/>
                <w:i w:val="0"/>
                <w:iCs w:val="0"/>
                <w:caps w:val="0"/>
                <w:color w:val="auto"/>
                <w:spacing w:val="0"/>
                <w:kern w:val="0"/>
                <w:sz w:val="32"/>
                <w:szCs w:val="32"/>
                <w:shd w:val="clear" w:fill="auto"/>
                <w:lang w:eastAsia="zh-CN"/>
              </w:rPr>
              <w:t>须同时具有</w:t>
            </w:r>
            <w:r>
              <w:rPr>
                <w:rFonts w:hint="eastAsia" w:ascii="仿宋_GB2312" w:hAnsi="仿宋_GB2312" w:eastAsia="仿宋_GB2312" w:cs="仿宋_GB2312"/>
                <w:i w:val="0"/>
                <w:iCs w:val="0"/>
                <w:caps w:val="0"/>
                <w:color w:val="auto"/>
                <w:spacing w:val="0"/>
                <w:kern w:val="0"/>
                <w:sz w:val="32"/>
                <w:szCs w:val="32"/>
                <w:shd w:val="clear" w:fill="auto"/>
              </w:rPr>
              <w:t>机械送风、机械排风的</w:t>
            </w:r>
            <w:r>
              <w:rPr>
                <w:rFonts w:hint="eastAsia" w:ascii="仿宋_GB2312" w:hAnsi="仿宋_GB2312" w:eastAsia="仿宋_GB2312" w:cs="仿宋_GB2312"/>
                <w:i w:val="0"/>
                <w:iCs w:val="0"/>
                <w:caps w:val="0"/>
                <w:color w:val="auto"/>
                <w:spacing w:val="0"/>
                <w:kern w:val="0"/>
                <w:sz w:val="32"/>
                <w:szCs w:val="32"/>
                <w:shd w:val="clear" w:fill="auto"/>
                <w:lang w:eastAsia="zh-CN"/>
              </w:rPr>
              <w:t>功能，</w:t>
            </w:r>
            <w:r>
              <w:rPr>
                <w:rFonts w:hint="eastAsia" w:ascii="仿宋_GB2312" w:hAnsi="仿宋_GB2312" w:eastAsia="仿宋_GB2312" w:cs="仿宋_GB2312"/>
                <w:i w:val="0"/>
                <w:iCs w:val="0"/>
                <w:caps w:val="0"/>
                <w:color w:val="auto"/>
                <w:spacing w:val="0"/>
                <w:kern w:val="0"/>
                <w:sz w:val="32"/>
                <w:szCs w:val="32"/>
                <w:shd w:val="clear"/>
                <w:lang w:val="en-US" w:eastAsia="zh-CN"/>
              </w:rPr>
              <w:t>抽</w:t>
            </w:r>
            <w:r>
              <w:rPr>
                <w:rFonts w:hint="eastAsia" w:ascii="仿宋_GB2312" w:hAnsi="仿宋_GB2312" w:eastAsia="仿宋_GB2312" w:cs="仿宋_GB2312"/>
                <w:i w:val="0"/>
                <w:iCs w:val="0"/>
                <w:caps w:val="0"/>
                <w:color w:val="auto"/>
                <w:spacing w:val="0"/>
                <w:kern w:val="0"/>
                <w:sz w:val="32"/>
                <w:szCs w:val="32"/>
                <w:shd w:val="clear" w:fill="auto"/>
              </w:rPr>
              <w:t>排风应满足新风量的要求，排风量应为新风量的80%-90%</w:t>
            </w:r>
            <w:r>
              <w:rPr>
                <w:rFonts w:hint="eastAsia" w:ascii="仿宋_GB2312" w:hAnsi="仿宋_GB2312" w:eastAsia="仿宋_GB2312" w:cs="仿宋_GB2312"/>
                <w:i w:val="0"/>
                <w:iCs w:val="0"/>
                <w:caps w:val="0"/>
                <w:color w:val="auto"/>
                <w:spacing w:val="0"/>
                <w:kern w:val="0"/>
                <w:sz w:val="32"/>
                <w:szCs w:val="32"/>
                <w:shd w:val="clear" w:fill="auto"/>
                <w:lang w:eastAsia="zh-CN"/>
              </w:rPr>
              <w:t>，</w:t>
            </w:r>
            <w:r>
              <w:rPr>
                <w:rFonts w:hint="eastAsia" w:ascii="仿宋_GB2312" w:hAnsi="仿宋_GB2312" w:eastAsia="仿宋_GB2312" w:cs="仿宋_GB2312"/>
                <w:i w:val="0"/>
                <w:iCs w:val="0"/>
                <w:caps w:val="0"/>
                <w:color w:val="000000" w:themeColor="text1"/>
                <w:spacing w:val="0"/>
                <w:kern w:val="0"/>
                <w:sz w:val="32"/>
                <w:szCs w:val="32"/>
                <w:shd w:val="clear" w:fill="auto"/>
                <w:lang w:eastAsia="zh-CN"/>
                <w14:textFill>
                  <w14:solidFill>
                    <w14:schemeClr w14:val="tx1"/>
                  </w14:solidFill>
                </w14:textFill>
              </w:rPr>
              <w:t>设备应</w:t>
            </w:r>
            <w:r>
              <w:rPr>
                <w:rFonts w:hint="eastAsia" w:ascii="仿宋_GB2312" w:hAnsi="仿宋_GB2312" w:eastAsia="仿宋_GB2312" w:cs="仿宋_GB2312"/>
                <w:i w:val="0"/>
                <w:iCs w:val="0"/>
                <w:caps w:val="0"/>
                <w:color w:val="000000" w:themeColor="text1"/>
                <w:spacing w:val="0"/>
                <w:kern w:val="0"/>
                <w:sz w:val="32"/>
                <w:szCs w:val="32"/>
                <w:shd w:val="clear" w:fill="auto"/>
                <w:lang w:val="en-US" w:eastAsia="zh-CN"/>
                <w14:textFill>
                  <w14:solidFill>
                    <w14:schemeClr w14:val="tx1"/>
                  </w14:solidFill>
                </w14:textFill>
              </w:rPr>
              <w:t>分别</w:t>
            </w:r>
            <w:r>
              <w:rPr>
                <w:rFonts w:hint="eastAsia" w:ascii="仿宋_GB2312" w:hAnsi="仿宋_GB2312" w:eastAsia="仿宋_GB2312" w:cs="仿宋_GB2312"/>
                <w:i w:val="0"/>
                <w:iCs w:val="0"/>
                <w:caps w:val="0"/>
                <w:color w:val="000000" w:themeColor="text1"/>
                <w:spacing w:val="0"/>
                <w:kern w:val="0"/>
                <w:sz w:val="32"/>
                <w:szCs w:val="32"/>
                <w:shd w:val="clear" w:fill="auto"/>
                <w:lang w:eastAsia="zh-CN"/>
                <w14:textFill>
                  <w14:solidFill>
                    <w14:schemeClr w14:val="tx1"/>
                  </w14:solidFill>
                </w14:textFill>
              </w:rPr>
              <w:t>满足</w:t>
            </w:r>
            <w:r>
              <w:rPr>
                <w:rFonts w:hint="eastAsia" w:ascii="仿宋_GB2312" w:hAnsi="仿宋_GB2312" w:eastAsia="仿宋_GB2312" w:cs="仿宋_GB2312"/>
                <w:i w:val="0"/>
                <w:iCs w:val="0"/>
                <w:caps w:val="0"/>
                <w:color w:val="000000" w:themeColor="text1"/>
                <w:spacing w:val="0"/>
                <w:kern w:val="0"/>
                <w:sz w:val="32"/>
                <w:szCs w:val="32"/>
                <w:shd w:val="clear" w:fill="auto"/>
                <w:lang w:val="en-US" w:eastAsia="zh-CN"/>
                <w14:textFill>
                  <w14:solidFill>
                    <w14:schemeClr w14:val="tx1"/>
                  </w14:solidFill>
                </w14:textFill>
              </w:rPr>
              <w:t>200平方米和130平方米空间的排风送风要求。</w:t>
            </w:r>
            <w:r>
              <w:rPr>
                <w:rFonts w:hint="eastAsia" w:ascii="仿宋_GB2312" w:hAnsi="仿宋_GB2312" w:eastAsia="仿宋_GB2312" w:cs="仿宋_GB2312"/>
                <w:i w:val="0"/>
                <w:iCs w:val="0"/>
                <w:caps w:val="0"/>
                <w:color w:val="auto"/>
                <w:spacing w:val="0"/>
                <w:kern w:val="0"/>
                <w:sz w:val="32"/>
                <w:szCs w:val="32"/>
                <w:shd w:val="clear"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w:t>
            </w:r>
          </w:p>
        </w:tc>
        <w:tc>
          <w:tcPr>
            <w:tcW w:w="1545" w:type="dxa"/>
            <w:vAlign w:val="center"/>
          </w:tcPr>
          <w:p>
            <w:pPr>
              <w:widowControl/>
              <w:jc w:val="center"/>
              <w:rPr>
                <w:rFonts w:hint="eastAsia"/>
                <w:lang w:val="en-US" w:eastAsia="zh-CN"/>
              </w:rPr>
            </w:pPr>
            <w:r>
              <w:rPr>
                <w:rFonts w:hint="eastAsia" w:ascii="仿宋_GB2312" w:hAnsi="仿宋_GB2312" w:eastAsia="仿宋_GB2312" w:cs="仿宋_GB2312"/>
                <w:color w:val="000000"/>
                <w:sz w:val="32"/>
                <w:szCs w:val="32"/>
                <w:lang w:val="en-US" w:eastAsia="zh-CN"/>
              </w:rPr>
              <w:t>男女更衣室热水系统</w:t>
            </w:r>
          </w:p>
        </w:tc>
        <w:tc>
          <w:tcPr>
            <w:tcW w:w="6544" w:type="dxa"/>
            <w:vAlign w:val="top"/>
          </w:tcPr>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lang w:val="en-US" w:eastAsia="zh-CN"/>
              </w:rPr>
            </w:pPr>
            <w:r>
              <w:rPr>
                <w:rFonts w:hint="eastAsia" w:ascii="仿宋_GB2312" w:hAnsi="仿宋_GB2312" w:eastAsia="仿宋_GB2312" w:cs="仿宋_GB2312"/>
                <w:b w:val="0"/>
                <w:bCs/>
                <w:color w:val="000000"/>
                <w:kern w:val="0"/>
                <w:sz w:val="32"/>
                <w:szCs w:val="32"/>
                <w:lang w:val="en-US" w:eastAsia="zh-CN" w:bidi="ar-SA"/>
              </w:rPr>
              <w:t>要求男女更衣室各安装一台热水淋浴系统，每台的储水量应能同时满足3人淋浴20分钟，每台一次至少能满足6-8人淋浴；热水系统需满足国家标准要求，有相关合格证，管道安装不能外露。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sz w:val="32"/>
                <w:szCs w:val="32"/>
                <w:lang w:val="en-US" w:eastAsia="zh-CN"/>
              </w:rPr>
              <w:t>男女更衣室储物柜，坐凳</w:t>
            </w:r>
          </w:p>
        </w:tc>
        <w:tc>
          <w:tcPr>
            <w:tcW w:w="6544" w:type="dxa"/>
            <w:vAlign w:val="top"/>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要求防水防潮的金属材料且甲醛等有害物质符合国家标准要求，材料须有相关合格证；储物柜须有柜门，且不少于9个储物格，门锁采用最新的开锁方式，且方便使用。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直饮水机</w:t>
            </w:r>
          </w:p>
        </w:tc>
        <w:tc>
          <w:tcPr>
            <w:tcW w:w="6544" w:type="dxa"/>
            <w:vAlign w:val="center"/>
          </w:tcPr>
          <w:p>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直饮水机须具有加热、温水、过滤等功能，热水流量要求500毫升/分钟；</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直饮水机过滤器RO膜规格要求600G及以上；</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设备须有相关产品合格证，检验证书；</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设备须是行业内的大品牌，有相关售后服务；</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对原有直饮水机进行修缮，更换合格的滤芯。</w:t>
            </w:r>
          </w:p>
          <w:p>
            <w:pPr>
              <w:pStyle w:val="2"/>
              <w:ind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荣誉墙</w:t>
            </w:r>
          </w:p>
        </w:tc>
        <w:tc>
          <w:tcPr>
            <w:tcW w:w="6544" w:type="dxa"/>
            <w:vAlign w:val="center"/>
          </w:tcPr>
          <w:p>
            <w:pPr>
              <w:pStyle w:val="2"/>
              <w:ind w:firstLine="0" w:firstLineChars="0"/>
              <w:rPr>
                <w:rFonts w:hint="default"/>
                <w:lang w:val="en-US" w:eastAsia="zh-CN"/>
              </w:rPr>
            </w:pPr>
            <w:r>
              <w:rPr>
                <w:rFonts w:hint="eastAsia" w:ascii="仿宋_GB2312" w:hAnsi="仿宋_GB2312" w:eastAsia="仿宋_GB2312" w:cs="仿宋_GB2312"/>
                <w:color w:val="000000"/>
                <w:kern w:val="0"/>
                <w:sz w:val="32"/>
                <w:szCs w:val="32"/>
                <w:lang w:val="en-US" w:eastAsia="zh-CN"/>
              </w:rPr>
              <w:t>要求对荣誉墙的版面进行重新设计，采用磁吸或其他的方式，方便对信息进行更换；整体要求大气，颜色协调，同时要搭配氛围灯。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入口处服务台</w:t>
            </w:r>
          </w:p>
        </w:tc>
        <w:tc>
          <w:tcPr>
            <w:tcW w:w="6544" w:type="dxa"/>
            <w:vAlign w:val="center"/>
          </w:tcPr>
          <w:p>
            <w:pPr>
              <w:pStyle w:val="2"/>
              <w:ind w:firstLine="0" w:firstLineChars="0"/>
              <w:rPr>
                <w:rFonts w:hint="default"/>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要求服务台整体设计须与现场墙边搭配协调融为一体，且占地大小应控制在1-2平方米；服务台材质为环保板材，应具有抽屉和储物的柜子。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大门感应器</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1.须更换行业内最新且耐用的感应器，方便日常使用，且具有产品合格证明；做好防水保护。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卫生间修缮</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2.对卫生间有损坏的门槛、门锁、小便器等进行更换修缮，颜色应与原有颜色一致；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其他要求</w:t>
            </w:r>
          </w:p>
        </w:tc>
        <w:tc>
          <w:tcPr>
            <w:tcW w:w="6544" w:type="dxa"/>
            <w:vAlign w:val="top"/>
          </w:tcPr>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须文明、安全施工，不得野蛮施工，对地面进行铺设保护，不得破坏业余体校内各设施设备，施工垃圾要及时清运；</w:t>
            </w:r>
          </w:p>
          <w:p>
            <w:pPr>
              <w:pStyle w:val="2"/>
              <w:numPr>
                <w:ilvl w:val="0"/>
                <w:numId w:val="3"/>
              </w:numPr>
              <w:ind w:firstLine="0" w:firstLineChars="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施工人员须持证上岗，佩戴安全帽，须对施工人员进行安全教育；</w:t>
            </w:r>
          </w:p>
          <w:p>
            <w:pPr>
              <w:pStyle w:val="2"/>
              <w:numPr>
                <w:ilvl w:val="0"/>
                <w:numId w:val="3"/>
              </w:numPr>
              <w:ind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须做好施工物料的堆放、运输、管理工作，不得随意乱放；</w:t>
            </w:r>
          </w:p>
          <w:p>
            <w:pPr>
              <w:pStyle w:val="2"/>
              <w:numPr>
                <w:ilvl w:val="0"/>
                <w:numId w:val="3"/>
              </w:numPr>
              <w:ind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做好施工的详细方案、质量保障措施、安全应急预案等；</w:t>
            </w:r>
          </w:p>
          <w:p>
            <w:pPr>
              <w:pStyle w:val="2"/>
              <w:numPr>
                <w:ilvl w:val="0"/>
                <w:numId w:val="3"/>
              </w:numPr>
              <w:ind w:firstLine="0" w:firstLineChars="0"/>
              <w:rPr>
                <w:rFonts w:hint="default" w:ascii="仿宋_GB2312" w:hAnsi="仿宋_GB2312" w:eastAsia="仿宋_GB2312" w:cs="仿宋_GB2312"/>
                <w:color w:val="auto"/>
                <w:kern w:val="0"/>
                <w:sz w:val="32"/>
                <w:szCs w:val="32"/>
                <w:lang w:val="en-US" w:eastAsia="zh-CN"/>
              </w:rPr>
            </w:pPr>
            <w:r>
              <w:rPr>
                <w:rFonts w:hint="eastAsia" w:ascii="仿宋_GB2312" w:hAnsi="宋体" w:eastAsia="仿宋_GB2312"/>
                <w:b w:val="0"/>
                <w:bCs w:val="0"/>
                <w:color w:val="auto"/>
                <w:kern w:val="0"/>
                <w:sz w:val="32"/>
                <w:szCs w:val="32"/>
                <w:lang w:val="en-US" w:eastAsia="zh-CN"/>
              </w:rPr>
              <w:t>其它未尽要求可按实际执行需求报价。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13</w:t>
            </w:r>
          </w:p>
        </w:tc>
        <w:tc>
          <w:tcPr>
            <w:tcW w:w="15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费用预算</w:t>
            </w:r>
          </w:p>
        </w:tc>
        <w:tc>
          <w:tcPr>
            <w:tcW w:w="654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不超过20万元（含税）</w:t>
            </w:r>
          </w:p>
        </w:tc>
      </w:tr>
    </w:tbl>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lang w:eastAsia="zh-CN"/>
        </w:rPr>
      </w:pPr>
      <w:r>
        <w:rPr>
          <w:rFonts w:hint="eastAsia" w:ascii="黑体" w:hAnsi="黑体" w:eastAsia="黑体" w:cs="仿宋"/>
          <w:color w:val="auto"/>
          <w:sz w:val="32"/>
          <w:szCs w:val="32"/>
          <w:lang w:eastAsia="zh-CN"/>
        </w:rPr>
        <w:t>三、响应文件要求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（一）文件基本要求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供应商应准备“投标文件”一式五份（一正四副），并编制打印成册，不成册视为无效投标。装在信封内密封，封口处需加盖单位公章，并在信封封面注明：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响应项目；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供应商名称；</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联系人姓名、电话。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（二）文件构成要求</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1</w:t>
      </w:r>
      <w:r>
        <w:rPr>
          <w:rFonts w:hint="eastAsia" w:ascii="楷体_GB2312" w:hAnsi="楷体_GB2312" w:eastAsia="楷体_GB2312" w:cs="楷体_GB2312"/>
          <w:b w:val="0"/>
          <w:bCs w:val="0"/>
          <w:color w:val="auto"/>
          <w:kern w:val="0"/>
          <w:sz w:val="32"/>
          <w:szCs w:val="32"/>
          <w:lang w:eastAsia="zh-CN"/>
        </w:rPr>
        <w:t>）商务部分，主要包括但不限于以下内容：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标书目录；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商事主体登记及备案信息查询记录，并加盖供应商单位公章；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lang w:eastAsia="zh-CN"/>
        </w:rPr>
        <w:t>供应商情况介绍（含资质、荣誉等）；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详细清单报价；</w:t>
      </w:r>
    </w:p>
    <w:p>
      <w:pPr>
        <w:widowControl/>
        <w:spacing w:line="560" w:lineRule="exact"/>
        <w:ind w:firstLine="640" w:firstLineChars="200"/>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供应商同类项目业绩、</w:t>
      </w:r>
      <w:r>
        <w:rPr>
          <w:rFonts w:hint="eastAsia" w:ascii="仿宋_GB2312" w:hAnsi="宋体" w:eastAsia="仿宋_GB2312"/>
          <w:color w:val="auto"/>
          <w:kern w:val="0"/>
          <w:sz w:val="32"/>
          <w:szCs w:val="32"/>
          <w:lang w:eastAsia="zh-CN"/>
        </w:rPr>
        <w:t>履约评价等</w:t>
      </w:r>
      <w:r>
        <w:rPr>
          <w:rFonts w:hint="eastAsia" w:ascii="仿宋_GB2312" w:hAnsi="宋体" w:eastAsia="仿宋_GB2312"/>
          <w:color w:val="auto"/>
          <w:kern w:val="0"/>
          <w:sz w:val="32"/>
          <w:szCs w:val="32"/>
        </w:rPr>
        <w:t>。</w:t>
      </w:r>
    </w:p>
    <w:p>
      <w:pPr>
        <w:keepNext w:val="0"/>
        <w:keepLines w:val="0"/>
        <w:pageBreakBefore w:val="0"/>
        <w:widowControl/>
        <w:numPr>
          <w:ilvl w:val="0"/>
          <w:numId w:val="0"/>
        </w:numPr>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val="en-US" w:eastAsia="zh-CN"/>
        </w:rPr>
        <w:t>（2）</w:t>
      </w:r>
      <w:r>
        <w:rPr>
          <w:rFonts w:hint="eastAsia" w:ascii="楷体_GB2312" w:hAnsi="楷体_GB2312" w:eastAsia="楷体_GB2312" w:cs="楷体_GB2312"/>
          <w:b w:val="0"/>
          <w:bCs w:val="0"/>
          <w:color w:val="auto"/>
          <w:kern w:val="0"/>
          <w:sz w:val="32"/>
          <w:szCs w:val="32"/>
          <w:lang w:eastAsia="zh-CN"/>
        </w:rPr>
        <w:t>技术部分，主要包括但不限于以下内容：</w:t>
      </w:r>
    </w:p>
    <w:p>
      <w:pPr>
        <w:widowControl/>
        <w:spacing w:line="560" w:lineRule="exact"/>
        <w:ind w:firstLine="640" w:firstLineChars="200"/>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w:t>
      </w:r>
      <w:r>
        <w:rPr>
          <w:rFonts w:hint="eastAsia" w:ascii="仿宋_GB2312" w:hAnsi="宋体" w:eastAsia="仿宋_GB2312" w:cs="Times New Roman"/>
          <w:color w:val="auto"/>
          <w:kern w:val="0"/>
          <w:sz w:val="32"/>
          <w:szCs w:val="32"/>
        </w:rPr>
        <w:t>项目实施关键施工技术（重点难点）分析及解决方案</w:t>
      </w:r>
      <w:r>
        <w:rPr>
          <w:rFonts w:hint="eastAsia" w:ascii="仿宋_GB2312" w:hAnsi="宋体" w:eastAsia="仿宋_GB2312" w:cs="Times New Roman"/>
          <w:color w:val="auto"/>
          <w:kern w:val="0"/>
          <w:sz w:val="32"/>
          <w:szCs w:val="32"/>
          <w:lang w:eastAsia="zh-CN"/>
        </w:rPr>
        <w:t>；</w:t>
      </w:r>
    </w:p>
    <w:p>
      <w:pPr>
        <w:widowControl/>
        <w:numPr>
          <w:ilvl w:val="-1"/>
          <w:numId w:val="0"/>
        </w:numPr>
        <w:spacing w:line="560" w:lineRule="exact"/>
        <w:ind w:firstLine="640" w:firstLineChars="200"/>
        <w:jc w:val="left"/>
        <w:rPr>
          <w:rFonts w:hint="eastAsia" w:ascii="仿宋_GB2312" w:hAnsi="宋体" w:eastAsia="仿宋_GB2312" w:cs="Times New Roman"/>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s="Times New Roman"/>
          <w:color w:val="auto"/>
          <w:kern w:val="0"/>
          <w:sz w:val="32"/>
          <w:szCs w:val="32"/>
        </w:rPr>
        <w:t>施工质量（安全、环保、工期、售后服务）保障措施</w:t>
      </w:r>
      <w:r>
        <w:rPr>
          <w:rFonts w:hint="eastAsia" w:ascii="仿宋_GB2312" w:hAnsi="宋体" w:eastAsia="仿宋_GB2312" w:cs="Times New Roman"/>
          <w:color w:val="auto"/>
          <w:kern w:val="0"/>
          <w:sz w:val="32"/>
          <w:szCs w:val="32"/>
        </w:rPr>
        <w:t>；</w:t>
      </w:r>
    </w:p>
    <w:p>
      <w:pPr>
        <w:widowControl/>
        <w:numPr>
          <w:ilvl w:val="0"/>
          <w:numId w:val="0"/>
        </w:numPr>
        <w:spacing w:line="560" w:lineRule="exact"/>
        <w:ind w:firstLine="640" w:firstLineChars="0"/>
        <w:jc w:val="left"/>
        <w:rPr>
          <w:rFonts w:hint="eastAsia" w:ascii="仿宋_GB2312" w:hAnsi="宋体" w:eastAsia="仿宋_GB2312"/>
          <w:color w:val="auto"/>
          <w:kern w:val="0"/>
          <w:sz w:val="32"/>
          <w:szCs w:val="32"/>
        </w:rPr>
      </w:pPr>
      <w:r>
        <w:rPr>
          <w:rFonts w:hint="eastAsia" w:ascii="仿宋_GB2312" w:hAnsi="宋体" w:eastAsia="仿宋_GB2312" w:cs="Times New Roman"/>
          <w:color w:val="auto"/>
          <w:kern w:val="0"/>
          <w:sz w:val="32"/>
          <w:szCs w:val="32"/>
          <w:lang w:val="en-US" w:eastAsia="zh-CN"/>
        </w:rPr>
        <w:t>3.</w:t>
      </w:r>
      <w:r>
        <w:rPr>
          <w:rFonts w:hint="eastAsia" w:ascii="仿宋_GB2312" w:hAnsi="宋体" w:eastAsia="仿宋_GB2312" w:cs="Times New Roman"/>
          <w:color w:val="auto"/>
          <w:kern w:val="0"/>
          <w:sz w:val="32"/>
          <w:szCs w:val="32"/>
        </w:rPr>
        <w:t>拟派项目经理情况（仅限一人）</w:t>
      </w:r>
      <w:r>
        <w:rPr>
          <w:rFonts w:hint="eastAsia" w:ascii="仿宋_GB2312" w:hAnsi="宋体" w:eastAsia="仿宋_GB2312" w:cs="Times New Roman"/>
          <w:color w:val="auto"/>
          <w:kern w:val="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0" w:firstLineChars="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四</w:t>
      </w:r>
      <w:r>
        <w:rPr>
          <w:rFonts w:hint="eastAsia" w:ascii="黑体" w:hAnsi="黑体" w:eastAsia="黑体" w:cs="仿宋"/>
          <w:color w:val="auto"/>
          <w:sz w:val="32"/>
          <w:szCs w:val="32"/>
        </w:rPr>
        <w:t>、供应商资格要求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rPr>
        <w:t>投标方须是在中华人民共和国境内注册，具有独立法人资格或是具有独立承担民事责任的能力的其它组织（提供营业执照扫描件或事业单位法人证等法人证明扫描件并加盖公章，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具有良好的商业信誉，投标方参加政府采购三年内，无行贿犯罪记录及在经营中没有重大违法记录；参与本项目政府采购不存在被有关部门禁止参与政府采购且在有效期内的情况；参与本项目政府采购时不存在被有关部门列入失信被执行人、重大税收违法案件当事人名单的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投标方具备履行合同所必需的设备和专业技术能力的证明材料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319" w:leftChars="152" w:firstLine="320" w:firstLineChars="1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）资质要求：企业</w:t>
      </w:r>
      <w:r>
        <w:rPr>
          <w:rFonts w:hint="eastAsia" w:ascii="仿宋_GB2312" w:hAnsi="仿宋_GB2312" w:eastAsia="仿宋_GB2312" w:cs="仿宋_GB2312"/>
          <w:color w:val="auto"/>
          <w:sz w:val="32"/>
          <w:szCs w:val="32"/>
        </w:rPr>
        <w:t>经营范围包含“</w:t>
      </w:r>
      <w:r>
        <w:rPr>
          <w:rFonts w:hint="default" w:ascii="仿宋_GB2312" w:hAnsi="仿宋_GB2312" w:eastAsia="仿宋_GB2312" w:cs="仿宋_GB2312"/>
          <w:color w:val="auto"/>
          <w:sz w:val="32"/>
          <w:szCs w:val="32"/>
          <w:lang w:val="en-US" w:eastAsia="zh-CN"/>
        </w:rPr>
        <w:t>建设工程施工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或“</w:t>
      </w:r>
      <w:r>
        <w:rPr>
          <w:rFonts w:hint="default" w:ascii="仿宋_GB2312" w:hAnsi="仿宋_GB2312" w:eastAsia="仿宋_GB2312" w:cs="仿宋_GB2312"/>
          <w:color w:val="auto"/>
          <w:sz w:val="32"/>
          <w:szCs w:val="32"/>
          <w:lang w:val="en-US" w:eastAsia="zh-CN"/>
        </w:rPr>
        <w:t>室内外装饰装修工程</w:t>
      </w:r>
      <w:r>
        <w:rPr>
          <w:rFonts w:hint="eastAsia" w:ascii="仿宋_GB2312" w:hAnsi="仿宋_GB2312" w:eastAsia="仿宋_GB2312" w:cs="仿宋_GB2312"/>
          <w:color w:val="auto"/>
          <w:sz w:val="32"/>
          <w:szCs w:val="32"/>
          <w:lang w:eastAsia="zh-CN"/>
        </w:rPr>
        <w:t>”或“</w:t>
      </w:r>
      <w:r>
        <w:rPr>
          <w:rFonts w:hint="default" w:ascii="仿宋_GB2312" w:hAnsi="仿宋_GB2312" w:eastAsia="仿宋_GB2312" w:cs="仿宋_GB2312"/>
          <w:color w:val="auto"/>
          <w:sz w:val="32"/>
          <w:szCs w:val="32"/>
          <w:lang w:val="en-US" w:eastAsia="zh-CN"/>
        </w:rPr>
        <w:t>建筑装修装饰工程</w:t>
      </w:r>
      <w:r>
        <w:rPr>
          <w:rFonts w:hint="eastAsia" w:ascii="仿宋_GB2312" w:hAnsi="仿宋_GB2312" w:eastAsia="仿宋_GB2312" w:cs="仿宋_GB2312"/>
          <w:color w:val="auto"/>
          <w:sz w:val="32"/>
          <w:szCs w:val="32"/>
          <w:lang w:eastAsia="zh-CN"/>
        </w:rPr>
        <w:t>”等相关</w:t>
      </w:r>
      <w:r>
        <w:rPr>
          <w:rFonts w:hint="eastAsia" w:ascii="仿宋_GB2312" w:hAnsi="仿宋_GB2312" w:eastAsia="仿宋_GB2312" w:cs="仿宋_GB2312"/>
          <w:color w:val="auto"/>
          <w:sz w:val="32"/>
          <w:szCs w:val="32"/>
          <w:lang w:val="en-US" w:eastAsia="zh-CN"/>
        </w:rPr>
        <w:t>装修装饰</w:t>
      </w:r>
      <w:r>
        <w:rPr>
          <w:rFonts w:hint="eastAsia" w:ascii="仿宋_GB2312" w:hAnsi="仿宋_GB2312" w:eastAsia="仿宋_GB2312" w:cs="仿宋_GB2312"/>
          <w:color w:val="auto"/>
          <w:sz w:val="32"/>
          <w:szCs w:val="32"/>
          <w:lang w:eastAsia="zh-CN"/>
        </w:rPr>
        <w:t>类施工内容。</w:t>
      </w:r>
      <w:r>
        <w:rPr>
          <w:rFonts w:hint="eastAsia" w:ascii="仿宋_GB2312" w:hAnsi="仿宋_GB2312" w:eastAsia="仿宋_GB2312" w:cs="仿宋_GB2312"/>
          <w:color w:val="auto"/>
          <w:sz w:val="32"/>
          <w:szCs w:val="32"/>
        </w:rPr>
        <w:t>须提供商事主体登记及备案信息查询记录，或营业执照（登记证）复印件（需有业务范围），并加盖供应商单位公章</w:t>
      </w:r>
      <w:r>
        <w:rPr>
          <w:rFonts w:hint="eastAsia" w:ascii="仿宋_GB2312" w:hAnsi="仿宋_GB2312" w:eastAsia="仿宋_GB2312" w:cs="仿宋_GB2312"/>
          <w:color w:val="auto"/>
          <w:sz w:val="32"/>
          <w:szCs w:val="32"/>
          <w:lang w:eastAsia="zh-CN"/>
        </w:rPr>
        <w:t>。</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）本项目不接受联合体投标，不接受投标方选用进口产品参与投标，不允许分包、转包。</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黑体" w:hAnsi="黑体" w:eastAsia="黑体" w:cs="仿宋"/>
          <w:color w:val="auto"/>
          <w:sz w:val="32"/>
          <w:szCs w:val="32"/>
        </w:rPr>
      </w:pPr>
      <w:r>
        <w:rPr>
          <w:rFonts w:hint="eastAsia" w:ascii="黑体" w:hAnsi="黑体" w:eastAsia="黑体" w:cs="仿宋"/>
          <w:color w:val="auto"/>
          <w:sz w:val="32"/>
          <w:szCs w:val="32"/>
          <w:lang w:eastAsia="zh-CN"/>
        </w:rPr>
        <w:t>五</w:t>
      </w:r>
      <w:r>
        <w:rPr>
          <w:rFonts w:hint="eastAsia" w:ascii="黑体" w:hAnsi="黑体" w:eastAsia="黑体" w:cs="仿宋"/>
          <w:color w:val="auto"/>
          <w:sz w:val="32"/>
          <w:szCs w:val="32"/>
        </w:rPr>
        <w:t>、评标定标方法</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作为评标定标方式，在最大限度满足招标文件实质性要求前提下，按照招标文件规定的各项因素进行量化打分，以评标总得分最高的投标供应商作为中标候选供应商或中标供应商的评标方法。</w:t>
      </w:r>
    </w:p>
    <w:p>
      <w:pPr>
        <w:pStyle w:val="2"/>
        <w:ind w:firstLine="0" w:firstLineChars="0"/>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仿宋"/>
          <w:color w:val="auto"/>
          <w:sz w:val="32"/>
          <w:szCs w:val="32"/>
        </w:rPr>
      </w:pPr>
      <w:r>
        <w:rPr>
          <w:rFonts w:hint="eastAsia" w:ascii="黑体" w:hAnsi="黑体" w:eastAsia="黑体" w:cs="仿宋"/>
          <w:color w:val="auto"/>
          <w:sz w:val="32"/>
          <w:szCs w:val="32"/>
          <w:lang w:eastAsia="zh-CN"/>
        </w:rPr>
        <w:t>六</w:t>
      </w:r>
      <w:r>
        <w:rPr>
          <w:rFonts w:hint="eastAsia" w:ascii="黑体" w:hAnsi="黑体" w:eastAsia="黑体" w:cs="仿宋"/>
          <w:color w:val="auto"/>
          <w:sz w:val="32"/>
          <w:szCs w:val="32"/>
        </w:rPr>
        <w:t>、商务需求</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（一）服务期：</w:t>
      </w:r>
      <w:r>
        <w:rPr>
          <w:rFonts w:hint="eastAsia" w:ascii="仿宋_GB2312" w:hAnsi="仿宋" w:eastAsia="仿宋_GB2312" w:cs="仿宋"/>
          <w:color w:val="auto"/>
          <w:sz w:val="32"/>
          <w:szCs w:val="32"/>
          <w:lang w:eastAsia="zh-CN"/>
        </w:rPr>
        <w:t>以合同签订日期为准</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楷体" w:hAnsi="楷体" w:eastAsia="楷体" w:cs="楷体"/>
          <w:color w:val="auto"/>
          <w:sz w:val="32"/>
          <w:szCs w:val="32"/>
        </w:rPr>
        <w:t>（二）服务地点：</w:t>
      </w:r>
      <w:r>
        <w:rPr>
          <w:rFonts w:hint="eastAsia" w:ascii="仿宋_GB2312" w:hAnsi="仿宋_GB2312" w:eastAsia="仿宋_GB2312" w:cs="仿宋_GB2312"/>
          <w:color w:val="auto"/>
          <w:sz w:val="32"/>
          <w:szCs w:val="32"/>
        </w:rPr>
        <w:t>深圳市光明区</w:t>
      </w:r>
      <w:r>
        <w:rPr>
          <w:rFonts w:hint="eastAsia" w:ascii="仿宋_GB2312" w:hAnsi="仿宋_GB2312" w:eastAsia="仿宋_GB2312" w:cs="仿宋_GB2312"/>
          <w:color w:val="auto"/>
          <w:sz w:val="32"/>
          <w:szCs w:val="32"/>
          <w:lang w:eastAsia="zh-CN"/>
        </w:rPr>
        <w:t>（具体地点待定）</w:t>
      </w:r>
      <w:r>
        <w:rPr>
          <w:rFonts w:hint="eastAsia" w:ascii="仿宋_GB2312" w:hAnsi="仿宋_GB2312" w:eastAsia="仿宋_GB2312" w:cs="仿宋_GB2312"/>
          <w:color w:val="auto"/>
          <w:sz w:val="32"/>
          <w:szCs w:val="32"/>
        </w:rPr>
        <w:t>。</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eastAsia="zh-CN"/>
        </w:rPr>
        <w:t>报价要求</w:t>
      </w:r>
      <w:r>
        <w:rPr>
          <w:rFonts w:hint="eastAsia" w:ascii="楷体" w:hAnsi="楷体" w:eastAsia="楷体" w:cs="楷体"/>
          <w:color w:val="auto"/>
          <w:sz w:val="32"/>
          <w:szCs w:val="32"/>
        </w:rPr>
        <w:t>：</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项目服务费采用包干制，应包括服务成本、法定税费和企业的利润。由投标供应商根据采购文件所提供的资料自行测算投标报价；一经中标，报价总价作为中标供应商与采购单位签定的合同金额，合同期限内不做调整。</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投标供应商应当根据本企业的成本自行决定报价，但不得以低于其企业成本的报价投标。</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投标供应商的报价不得超过项目预算金额。</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投标供应商的报价，应当是本项目采购范围和采购文件及合同条款上所列的各项内容中所述的全部，不得以任何理由予以重复。</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除非采购单位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投标供应商应先到项目地点踏勘以充分了解项目的位置、情况、道路及任何其它足以影响投标报价的情况，任何因忽视或误解项目情况而导致的索赔或服务期限延长申请将不获批准。</w:t>
      </w:r>
    </w:p>
    <w:p>
      <w:pPr>
        <w:pStyle w:val="10"/>
        <w:keepNext w:val="0"/>
        <w:keepLines w:val="0"/>
        <w:pageBreakBefore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color w:val="auto"/>
          <w:kern w:val="0"/>
          <w:sz w:val="32"/>
          <w:szCs w:val="32"/>
        </w:rPr>
      </w:pPr>
      <w:r>
        <w:rPr>
          <w:rFonts w:hint="eastAsia" w:ascii="楷体" w:hAnsi="楷体" w:eastAsia="楷体" w:cs="楷体"/>
          <w:color w:val="auto"/>
          <w:kern w:val="0"/>
          <w:sz w:val="32"/>
          <w:szCs w:val="32"/>
        </w:rPr>
        <w:t>（四）付款方式：</w:t>
      </w:r>
      <w:r>
        <w:rPr>
          <w:rFonts w:hint="eastAsia" w:ascii="仿宋_GB2312" w:hAnsi="仿宋" w:eastAsia="仿宋_GB2312" w:cs="仿宋"/>
          <w:color w:val="auto"/>
          <w:sz w:val="32"/>
          <w:szCs w:val="32"/>
          <w:lang w:eastAsia="zh-CN"/>
        </w:rPr>
        <w:t>根据合同约定</w:t>
      </w:r>
    </w:p>
    <w:p>
      <w:pPr>
        <w:spacing w:line="560" w:lineRule="exact"/>
        <w:ind w:firstLine="640" w:firstLineChars="200"/>
        <w:rPr>
          <w:rFonts w:ascii="仿宋_GB2312" w:hAnsi="仿宋" w:eastAsia="仿宋_GB2312" w:cs="仿宋"/>
          <w:color w:val="auto"/>
          <w:sz w:val="32"/>
          <w:szCs w:val="32"/>
        </w:rPr>
      </w:pPr>
      <w:r>
        <w:rPr>
          <w:rFonts w:hint="eastAsia" w:ascii="楷体" w:hAnsi="楷体" w:eastAsia="楷体" w:cs="楷体"/>
          <w:color w:val="auto"/>
          <w:kern w:val="0"/>
          <w:sz w:val="32"/>
          <w:szCs w:val="32"/>
        </w:rPr>
        <w:t>（五）</w:t>
      </w:r>
      <w:r>
        <w:rPr>
          <w:rFonts w:hint="eastAsia" w:ascii="楷体" w:hAnsi="楷体" w:eastAsia="楷体" w:cs="楷体"/>
          <w:color w:val="auto"/>
          <w:kern w:val="0"/>
          <w:sz w:val="32"/>
          <w:szCs w:val="32"/>
          <w:lang w:eastAsia="zh-CN"/>
        </w:rPr>
        <w:t>违约责任</w:t>
      </w:r>
      <w:r>
        <w:rPr>
          <w:rFonts w:hint="eastAsia" w:ascii="楷体" w:hAnsi="楷体" w:eastAsia="楷体" w:cs="楷体"/>
          <w:color w:val="auto"/>
          <w:kern w:val="0"/>
          <w:sz w:val="32"/>
          <w:szCs w:val="32"/>
        </w:rPr>
        <w:t>：</w:t>
      </w:r>
      <w:r>
        <w:rPr>
          <w:rFonts w:hint="eastAsia" w:ascii="仿宋_GB2312" w:hAnsi="仿宋" w:eastAsia="仿宋_GB2312" w:cs="仿宋"/>
          <w:color w:val="auto"/>
          <w:sz w:val="32"/>
          <w:szCs w:val="32"/>
        </w:rPr>
        <w:t>供应商未按照合同约定完成服务内容，应向采购方返还已收取的服务总费用，并向采购方支付服务总费用20%的违约金。</w:t>
      </w:r>
    </w:p>
    <w:p>
      <w:pPr>
        <w:spacing w:line="560" w:lineRule="exact"/>
        <w:ind w:firstLine="640" w:firstLineChars="200"/>
        <w:rPr>
          <w:rFonts w:hint="eastAsia" w:ascii="仿宋_GB2312" w:hAnsi="仿宋" w:eastAsia="仿宋_GB2312" w:cs="仿宋"/>
          <w:color w:val="auto"/>
          <w:sz w:val="32"/>
          <w:szCs w:val="32"/>
        </w:rPr>
      </w:pPr>
      <w:r>
        <w:rPr>
          <w:rFonts w:hint="eastAsia" w:ascii="楷体" w:hAnsi="楷体" w:eastAsia="楷体" w:cs="楷体"/>
          <w:color w:val="auto"/>
          <w:sz w:val="32"/>
          <w:szCs w:val="32"/>
        </w:rPr>
        <w:t>（六）警示条款</w:t>
      </w:r>
      <w:r>
        <w:rPr>
          <w:rFonts w:hint="eastAsia" w:ascii="仿宋_GB2312" w:hAnsi="仿宋" w:eastAsia="仿宋_GB2312" w:cs="仿宋"/>
          <w:color w:val="auto"/>
          <w:sz w:val="32"/>
          <w:szCs w:val="32"/>
        </w:rPr>
        <w:t>：光明区公共文化艺术</w:t>
      </w:r>
      <w:r>
        <w:rPr>
          <w:rFonts w:hint="eastAsia" w:ascii="仿宋_GB2312" w:hAnsi="仿宋" w:eastAsia="仿宋_GB2312" w:cs="仿宋"/>
          <w:color w:val="auto"/>
          <w:sz w:val="32"/>
          <w:szCs w:val="32"/>
          <w:lang w:eastAsia="zh-CN"/>
        </w:rPr>
        <w:t>和体育</w:t>
      </w:r>
      <w:r>
        <w:rPr>
          <w:rFonts w:hint="eastAsia" w:ascii="仿宋_GB2312" w:hAnsi="仿宋" w:eastAsia="仿宋_GB2312" w:cs="仿宋"/>
          <w:color w:val="auto"/>
          <w:sz w:val="32"/>
          <w:szCs w:val="32"/>
        </w:rPr>
        <w:t>中心有权对所有投标供应商就本项目招标文件要求提供的相关证明材料（原件）进行审查。供应商提供虚假资料被查实的，则可能面临被取消本项目中标资格、列入不良行为记录名单且三年内禁止参与本单位采购的风险。</w:t>
      </w:r>
    </w:p>
    <w:p>
      <w:pPr>
        <w:spacing w:line="560" w:lineRule="exact"/>
        <w:ind w:firstLine="640" w:firstLineChars="200"/>
      </w:pPr>
      <w:r>
        <w:rPr>
          <w:rFonts w:hint="eastAsia" w:ascii="楷体" w:hAnsi="楷体" w:eastAsia="楷体" w:cs="楷体"/>
          <w:color w:val="auto"/>
          <w:sz w:val="32"/>
          <w:szCs w:val="32"/>
          <w:lang w:val="en-US" w:eastAsia="zh-CN"/>
        </w:rPr>
        <w:t>（七）陪标责任：</w:t>
      </w:r>
      <w:r>
        <w:rPr>
          <w:rFonts w:hint="eastAsia" w:ascii="仿宋_GB2312" w:hAnsi="仿宋" w:eastAsia="仿宋_GB2312" w:cs="仿宋"/>
          <w:color w:val="auto"/>
          <w:sz w:val="32"/>
          <w:szCs w:val="32"/>
          <w:lang w:val="en-US" w:eastAsia="zh-CN"/>
        </w:rPr>
        <w:t>此项目不接受关联供应商同时投标，经查发现存在陪标现象，取消本次所有参标资格，并按相关规定进行上报和追责。</w:t>
      </w:r>
    </w:p>
    <w:bookmarkEnd w:id="0"/>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A847C"/>
    <w:multiLevelType w:val="singleLevel"/>
    <w:tmpl w:val="E2FA847C"/>
    <w:lvl w:ilvl="0" w:tentative="0">
      <w:start w:val="1"/>
      <w:numFmt w:val="decimal"/>
      <w:lvlText w:val="%1."/>
      <w:lvlJc w:val="left"/>
      <w:pPr>
        <w:tabs>
          <w:tab w:val="left" w:pos="312"/>
        </w:tabs>
      </w:pPr>
    </w:lvl>
  </w:abstractNum>
  <w:abstractNum w:abstractNumId="1">
    <w:nsid w:val="5A18FDE0"/>
    <w:multiLevelType w:val="singleLevel"/>
    <w:tmpl w:val="5A18FDE0"/>
    <w:lvl w:ilvl="0" w:tentative="0">
      <w:start w:val="1"/>
      <w:numFmt w:val="decimal"/>
      <w:suff w:val="nothing"/>
      <w:lvlText w:val="%1、"/>
      <w:lvlJc w:val="left"/>
    </w:lvl>
  </w:abstractNum>
  <w:abstractNum w:abstractNumId="2">
    <w:nsid w:val="6AC29145"/>
    <w:multiLevelType w:val="singleLevel"/>
    <w:tmpl w:val="6AC2914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TNjYWFjOWY1YzQ0ZDNlZDYxYmNlNDE2Y2U2ZWUifQ=="/>
  </w:docVars>
  <w:rsids>
    <w:rsidRoot w:val="4C010192"/>
    <w:rsid w:val="00CE3596"/>
    <w:rsid w:val="042E07AD"/>
    <w:rsid w:val="056E6AA7"/>
    <w:rsid w:val="0D117511"/>
    <w:rsid w:val="19B945F4"/>
    <w:rsid w:val="1A5C7C0D"/>
    <w:rsid w:val="2198575E"/>
    <w:rsid w:val="24AB20F4"/>
    <w:rsid w:val="29E15C3F"/>
    <w:rsid w:val="33E60E02"/>
    <w:rsid w:val="34F71C8C"/>
    <w:rsid w:val="35CF5AD7"/>
    <w:rsid w:val="3726736D"/>
    <w:rsid w:val="3D140D7A"/>
    <w:rsid w:val="40C7170B"/>
    <w:rsid w:val="421C2F1B"/>
    <w:rsid w:val="43D668C5"/>
    <w:rsid w:val="45053A1F"/>
    <w:rsid w:val="45E7DA4F"/>
    <w:rsid w:val="48455AD3"/>
    <w:rsid w:val="4C010192"/>
    <w:rsid w:val="58052E1A"/>
    <w:rsid w:val="5CBD36A7"/>
    <w:rsid w:val="68713CF9"/>
    <w:rsid w:val="690D4726"/>
    <w:rsid w:val="6BE62ADE"/>
    <w:rsid w:val="6DE60E41"/>
    <w:rsid w:val="6F265A25"/>
    <w:rsid w:val="6F7D2EE9"/>
    <w:rsid w:val="721E1336"/>
    <w:rsid w:val="727B12EA"/>
    <w:rsid w:val="728C7132"/>
    <w:rsid w:val="73326848"/>
    <w:rsid w:val="77701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cs="Times New Roman"/>
      <w:b/>
      <w:color w:val="333333"/>
      <w:kern w:val="44"/>
      <w:sz w:val="42"/>
      <w:szCs w:val="42"/>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style>
  <w:style w:type="paragraph" w:styleId="3">
    <w:name w:val="Body Text"/>
    <w:basedOn w:val="1"/>
    <w:next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Normal (Web)"/>
    <w:basedOn w:val="1"/>
    <w:autoRedefine/>
    <w:qFormat/>
    <w:uiPriority w:val="99"/>
    <w:rPr>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W-Default"/>
    <w:autoRedefine/>
    <w:qFormat/>
    <w:uiPriority w:val="99"/>
    <w:pPr>
      <w:widowControl w:val="0"/>
      <w:suppressAutoHyphens/>
      <w:autoSpaceDE w:val="0"/>
    </w:pPr>
    <w:rPr>
      <w:rFonts w:ascii="Calibri" w:hAnsi="Calibri"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7496</Words>
  <Characters>7643</Characters>
  <Lines>0</Lines>
  <Paragraphs>0</Paragraphs>
  <TotalTime>45</TotalTime>
  <ScaleCrop>false</ScaleCrop>
  <LinksUpToDate>false</LinksUpToDate>
  <CharactersWithSpaces>7648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2024-07-10T00:50:00Z</dcterms:created>
  <dc:creator>Administrator</dc:creator>
  <cp:lastModifiedBy> 许德寿.</cp:lastModifiedBy>
  <dcterms:modified xsi:type="dcterms:W3CDTF">2024-09-06T01:08:35Z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7E91964FD2674B79BA54E1E2445F9BFB_13</vt:lpwstr>
  </property>
</Properties>
</file>