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cstheme="minorEastAsia"/>
          <w:b/>
          <w:bCs/>
          <w:sz w:val="44"/>
          <w:szCs w:val="44"/>
          <w:lang w:eastAsia="zh-CN"/>
        </w:rPr>
      </w:pPr>
      <w:bookmarkStart w:id="0" w:name="_GoBack"/>
      <w:r>
        <w:rPr>
          <w:rFonts w:hint="eastAsia" w:asciiTheme="minorEastAsia" w:hAnsiTheme="minorEastAsia" w:cstheme="minorEastAsia"/>
          <w:b/>
          <w:bCs/>
          <w:sz w:val="44"/>
          <w:szCs w:val="44"/>
        </w:rPr>
        <w:t>光明区</w:t>
      </w:r>
      <w:r>
        <w:rPr>
          <w:rFonts w:hint="eastAsia" w:asciiTheme="minorEastAsia" w:hAnsiTheme="minorEastAsia" w:cstheme="minorEastAsia"/>
          <w:b/>
          <w:bCs/>
          <w:sz w:val="44"/>
          <w:szCs w:val="44"/>
          <w:lang w:eastAsia="zh-CN"/>
        </w:rPr>
        <w:t>公共文化艺术和体育中心</w:t>
      </w:r>
    </w:p>
    <w:p>
      <w:pPr>
        <w:spacing w:line="440" w:lineRule="exact"/>
        <w:jc w:val="center"/>
        <w:rPr>
          <w:rFonts w:ascii="宋体" w:hAnsi="宋体"/>
          <w:b/>
          <w:bCs/>
          <w:color w:val="000000"/>
          <w:sz w:val="44"/>
          <w:szCs w:val="44"/>
        </w:rPr>
      </w:pPr>
      <w:r>
        <w:rPr>
          <w:rFonts w:hint="eastAsia" w:asciiTheme="minorEastAsia" w:hAnsiTheme="minorEastAsia" w:cstheme="minorEastAsia"/>
          <w:b/>
          <w:bCs/>
          <w:sz w:val="44"/>
          <w:szCs w:val="44"/>
          <w:lang w:val="en-US" w:eastAsia="zh-CN"/>
        </w:rPr>
        <w:t>2024年</w:t>
      </w:r>
      <w:r>
        <w:rPr>
          <w:rFonts w:hint="eastAsia" w:ascii="宋体" w:hAnsi="宋体"/>
          <w:b/>
          <w:bCs/>
          <w:color w:val="000000"/>
          <w:sz w:val="44"/>
          <w:szCs w:val="44"/>
          <w:lang w:val="en-US" w:eastAsia="zh-CN"/>
        </w:rPr>
        <w:t>保险项目需求</w:t>
      </w:r>
    </w:p>
    <w:bookmarkEnd w:id="0"/>
    <w:p>
      <w:pPr>
        <w:tabs>
          <w:tab w:val="left" w:pos="3350"/>
        </w:tabs>
        <w:rPr>
          <w:rFonts w:hint="eastAsia" w:eastAsia="宋体"/>
          <w:b/>
          <w:sz w:val="32"/>
          <w:szCs w:val="32"/>
          <w:lang w:eastAsia="zh-CN"/>
        </w:rPr>
      </w:pPr>
      <w:r>
        <w:rPr>
          <w:rFonts w:hint="eastAsia"/>
          <w:b/>
          <w:sz w:val="32"/>
          <w:szCs w:val="32"/>
          <w:lang w:eastAsia="zh-CN"/>
        </w:rPr>
        <w:tab/>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6"/>
        <w:gridCol w:w="362"/>
        <w:gridCol w:w="1262"/>
        <w:gridCol w:w="2805"/>
        <w:gridCol w:w="102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1"/>
                <w:lang w:val="en-US" w:eastAsia="zh-CN" w:bidi="ar-SA"/>
              </w:rPr>
            </w:pPr>
            <w:r>
              <w:rPr>
                <w:rFonts w:hint="eastAsia"/>
                <w:b/>
                <w:bCs/>
                <w:color w:val="auto"/>
                <w:szCs w:val="21"/>
                <w:lang w:eastAsia="zh-CN"/>
              </w:rPr>
              <w:t>单位名称</w:t>
            </w:r>
            <w:r>
              <w:rPr>
                <w:rFonts w:hint="eastAsia"/>
                <w:b/>
                <w:bCs/>
                <w:color w:val="auto"/>
                <w:szCs w:val="21"/>
              </w:rPr>
              <w:t>：</w:t>
            </w:r>
          </w:p>
        </w:tc>
        <w:tc>
          <w:tcPr>
            <w:tcW w:w="7199" w:type="dxa"/>
            <w:gridSpan w:val="5"/>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kern w:val="0"/>
                <w:sz w:val="21"/>
                <w:szCs w:val="21"/>
                <w:lang w:val="en-US" w:eastAsia="zh-CN"/>
              </w:rPr>
              <w:t>光明区公共文化艺术和体育中心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1"/>
                <w:lang w:val="en-US" w:eastAsia="zh-CN" w:bidi="ar-SA"/>
              </w:rPr>
            </w:pPr>
            <w:r>
              <w:rPr>
                <w:rFonts w:hint="eastAsia"/>
                <w:b/>
                <w:bCs/>
                <w:color w:val="auto"/>
                <w:szCs w:val="21"/>
              </w:rPr>
              <w:t>地  址：</w:t>
            </w:r>
          </w:p>
        </w:tc>
        <w:tc>
          <w:tcPr>
            <w:tcW w:w="7199" w:type="dxa"/>
            <w:gridSpan w:val="5"/>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深圳市光明区光明街道泉鸣路与牛山路交汇处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1354"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Cs w:val="21"/>
                <w:lang w:eastAsia="zh-CN"/>
              </w:rPr>
            </w:pPr>
            <w:r>
              <w:rPr>
                <w:rFonts w:hint="eastAsia"/>
                <w:b/>
                <w:bCs/>
                <w:color w:val="auto"/>
                <w:szCs w:val="21"/>
                <w:lang w:eastAsia="zh-CN"/>
              </w:rPr>
              <w:t>场馆基本</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b/>
                <w:bCs/>
                <w:color w:val="auto"/>
                <w:kern w:val="2"/>
                <w:sz w:val="21"/>
                <w:szCs w:val="21"/>
                <w:lang w:val="en-US" w:eastAsia="zh-CN" w:bidi="ar-SA"/>
              </w:rPr>
            </w:pPr>
            <w:r>
              <w:rPr>
                <w:rFonts w:hint="eastAsia"/>
                <w:b/>
                <w:bCs/>
                <w:color w:val="auto"/>
                <w:szCs w:val="21"/>
                <w:lang w:eastAsia="zh-CN"/>
              </w:rPr>
              <w:t>情况：</w:t>
            </w:r>
          </w:p>
        </w:tc>
        <w:tc>
          <w:tcPr>
            <w:tcW w:w="7199" w:type="dxa"/>
            <w:gridSpan w:val="5"/>
            <w:tcBorders>
              <w:tl2br w:val="nil"/>
              <w:tr2bl w:val="nil"/>
            </w:tcBorders>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olor w:val="auto"/>
                <w:lang w:val="en-US" w:eastAsia="zh-CN"/>
              </w:rPr>
            </w:pPr>
            <w:r>
              <w:rPr>
                <w:rFonts w:hint="eastAsia"/>
                <w:color w:val="auto"/>
                <w:lang w:val="en-US" w:eastAsia="zh-CN"/>
              </w:rPr>
              <w:t>光明区公共文化艺术和体育中心下属光明区文化馆、区图书馆、区少年儿童图书馆、传麒山分馆、</w:t>
            </w:r>
            <w:r>
              <w:rPr>
                <w:rFonts w:hint="default"/>
                <w:color w:val="auto"/>
                <w:lang w:val="en-US" w:eastAsia="zh-CN"/>
              </w:rPr>
              <w:t>光明区业余体育学校</w:t>
            </w:r>
            <w:r>
              <w:rPr>
                <w:rFonts w:hint="eastAsia"/>
                <w:color w:val="auto"/>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color w:val="auto"/>
                <w:lang w:val="en-US" w:eastAsia="zh-CN"/>
              </w:rPr>
            </w:pPr>
            <w:r>
              <w:rPr>
                <w:rFonts w:hint="eastAsia"/>
                <w:color w:val="auto"/>
                <w:lang w:val="en-US" w:eastAsia="zh-CN"/>
              </w:rPr>
              <w:t>光明区文化馆、少年儿童图书馆位于光明区公明街道振明路9号（以下简称“两馆”）。“两馆”包含的区域为A座文化馆主楼、B座少年儿童图书馆、C座培训中心、D座剧场、地下室及公共区域。总建筑面积2.592万平米，总占地面积3.6178万平米。A座文化馆主楼总建筑面积4934平方米，共四层，一层为艺术展览区，二层、三层为办公区，四层为培训区；B座少年儿童图书馆总建筑面积6142平方米，共四层，一层为图书馆大堂，二层、三层为读者阅览区，四层为办公区域及多功能报告厅；C座文化馆培训中心总建筑面积5176平方米，共三层，一层为正佳影院大堂，二层、三层为文艺培训区；D座剧场3787平方米，主要举办公益文化演出及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color w:val="auto"/>
                <w:lang w:val="en-US" w:eastAsia="zh-CN"/>
              </w:rPr>
            </w:pPr>
            <w:r>
              <w:rPr>
                <w:rFonts w:hint="eastAsia"/>
                <w:color w:val="auto"/>
                <w:lang w:val="en-US" w:eastAsia="zh-CN"/>
              </w:rPr>
              <w:t>财产一切险：区文化馆、少年儿童图书馆、区图书馆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default"/>
                <w:color w:val="auto"/>
                <w:lang w:val="en-US" w:eastAsia="zh-CN"/>
              </w:rPr>
            </w:pPr>
            <w:r>
              <w:rPr>
                <w:rFonts w:hint="eastAsia"/>
                <w:color w:val="auto"/>
                <w:lang w:val="en-US" w:eastAsia="zh-CN"/>
              </w:rPr>
              <w:t>公众责任险：区文化馆、少年儿童图书馆、传麒山分馆、光明区业余体育学校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3" w:type="dxa"/>
            <w:gridSpan w:val="7"/>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color w:val="auto"/>
                <w:lang w:val="en-US" w:eastAsia="zh-CN"/>
              </w:rPr>
            </w:pPr>
            <w:r>
              <w:rPr>
                <w:rFonts w:hint="eastAsia"/>
                <w:b/>
                <w:bCs/>
                <w:color w:val="auto"/>
                <w:sz w:val="32"/>
                <w:szCs w:val="32"/>
                <w:lang w:val="en-US" w:eastAsia="zh-CN"/>
              </w:rPr>
              <w:t>需求明细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8" w:type="dxa"/>
            <w:tcBorders>
              <w:tl2br w:val="nil"/>
              <w:tr2bl w:val="nil"/>
            </w:tcBorders>
            <w:shd w:val="clear" w:color="auto" w:fill="FFFFFF"/>
            <w:noWrap w:val="0"/>
            <w:vAlign w:val="center"/>
          </w:tcPr>
          <w:p>
            <w:pPr>
              <w:pStyle w:val="5"/>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序号</w:t>
            </w:r>
          </w:p>
        </w:tc>
        <w:tc>
          <w:tcPr>
            <w:tcW w:w="958" w:type="dxa"/>
            <w:gridSpan w:val="2"/>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保险</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类别</w:t>
            </w: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名称</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保险内容</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赔偿限额（人民币）</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lang w:val="en-US" w:eastAsia="zh-CN"/>
              </w:rPr>
            </w:pPr>
            <w:r>
              <w:rPr>
                <w:rFonts w:hint="eastAsia"/>
                <w:b/>
                <w:bCs/>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1</w:t>
            </w:r>
          </w:p>
        </w:tc>
        <w:tc>
          <w:tcPr>
            <w:tcW w:w="958" w:type="dxa"/>
            <w:gridSpan w:val="2"/>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财产</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2"/>
                <w:lang w:val="en-US" w:eastAsia="zh-CN" w:bidi="ar-SA"/>
              </w:rPr>
            </w:pPr>
            <w:r>
              <w:rPr>
                <w:rFonts w:hint="eastAsia" w:cs="Times New Roman"/>
                <w:color w:val="auto"/>
                <w:kern w:val="2"/>
                <w:sz w:val="21"/>
                <w:szCs w:val="22"/>
                <w:lang w:val="en-US" w:eastAsia="zh-CN" w:bidi="ar-SA"/>
              </w:rPr>
              <w:t>一切险</w:t>
            </w: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两馆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场馆房屋建筑</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（含装修）</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A座文化馆主楼+B座少年儿童图书馆+C座培训中心+D座剧场+公共区域+地下室</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1.5</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亿元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2</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eastAsia="zh-CN"/>
              </w:rPr>
            </w:pPr>
            <w:r>
              <w:rPr>
                <w:rFonts w:hint="eastAsia"/>
                <w:color w:val="auto"/>
                <w:highlight w:val="none"/>
                <w:lang w:eastAsia="zh-CN"/>
              </w:rPr>
              <w:t>场馆设备</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highlight w:val="none"/>
                <w:lang w:eastAsia="zh-CN"/>
              </w:rPr>
            </w:pPr>
            <w:r>
              <w:rPr>
                <w:rFonts w:hint="eastAsia"/>
                <w:color w:val="auto"/>
                <w:highlight w:val="none"/>
              </w:rPr>
              <w:t>办公设备+电子设备（</w:t>
            </w:r>
            <w:r>
              <w:rPr>
                <w:rFonts w:hint="eastAsia"/>
                <w:color w:val="auto"/>
                <w:highlight w:val="none"/>
                <w:lang w:eastAsia="zh-CN"/>
              </w:rPr>
              <w:t>含</w:t>
            </w:r>
            <w:r>
              <w:rPr>
                <w:rFonts w:hint="eastAsia"/>
                <w:color w:val="auto"/>
                <w:highlight w:val="none"/>
              </w:rPr>
              <w:t>机器设备、配电设备、消防设备、监控设备</w:t>
            </w:r>
            <w:r>
              <w:rPr>
                <w:rFonts w:hint="eastAsia"/>
                <w:color w:val="auto"/>
                <w:highlight w:val="none"/>
                <w:lang w:eastAsia="zh-CN"/>
              </w:rPr>
              <w:t>、专用设备、通用设备、</w:t>
            </w:r>
            <w:r>
              <w:rPr>
                <w:rFonts w:hint="eastAsia"/>
                <w:color w:val="auto"/>
                <w:highlight w:val="none"/>
                <w:lang w:val="en-US" w:eastAsia="zh-CN"/>
              </w:rPr>
              <w:t>24小时书香亭机器设备及玻璃防护罩（71个）</w:t>
            </w:r>
            <w:r>
              <w:rPr>
                <w:rFonts w:hint="eastAsia"/>
                <w:color w:val="auto"/>
                <w:highlight w:val="none"/>
                <w:lang w:eastAsia="zh-CN"/>
              </w:rPr>
              <w:t>等</w:t>
            </w:r>
            <w:r>
              <w:rPr>
                <w:rFonts w:hint="eastAsia"/>
                <w:color w:val="auto"/>
                <w:highlight w:val="none"/>
              </w:rPr>
              <w:t>）</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1.27亿元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 xml:space="preserve">区文化馆、少年儿童图书馆5000万；区图书馆3700万元；                      </w:t>
            </w:r>
            <w:r>
              <w:rPr>
                <w:rFonts w:hint="eastAsia"/>
                <w:color w:val="auto"/>
                <w:highlight w:val="none"/>
                <w:lang w:val="en-US" w:eastAsia="zh-CN"/>
              </w:rPr>
              <w:t>24小时书香亭机器设备及玻璃防护罩：4000万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3</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color w:val="auto"/>
                <w:lang w:val="en-US" w:eastAsia="zh-CN"/>
              </w:rPr>
              <w:t>场馆家具</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lang w:val="en-US" w:eastAsia="zh-CN"/>
              </w:rPr>
              <w:t>家具、用具、装具等</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≥3400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lang w:val="en-US" w:eastAsia="zh-CN"/>
              </w:rPr>
              <w:t>万元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区图书馆2000万；                  区文化馆、少年儿童图书馆1400万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4</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color w:val="auto"/>
                <w:lang w:eastAsia="zh-CN"/>
              </w:rPr>
              <w:t>仓储物</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eastAsia="zh-CN"/>
              </w:rPr>
              <w:t>少年儿童图书馆</w:t>
            </w:r>
            <w:r>
              <w:rPr>
                <w:rFonts w:hint="eastAsia"/>
                <w:color w:val="auto"/>
                <w:lang w:val="en-US" w:eastAsia="zh-CN"/>
              </w:rPr>
              <w:t>+</w:t>
            </w:r>
            <w:r>
              <w:rPr>
                <w:rFonts w:hint="eastAsia"/>
                <w:color w:val="auto"/>
                <w:lang w:eastAsia="zh-CN"/>
              </w:rPr>
              <w:t>传麒山分馆</w:t>
            </w:r>
            <w:r>
              <w:rPr>
                <w:rFonts w:hint="eastAsia"/>
                <w:color w:val="auto"/>
                <w:lang w:val="en-US" w:eastAsia="zh-CN"/>
              </w:rPr>
              <w:t>+区文化馆+区图书馆（图书、档案）</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color w:val="auto"/>
                <w:lang w:val="en-US" w:eastAsia="zh-CN"/>
              </w:rPr>
              <w:t>4000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rPr>
              <w:t>万</w:t>
            </w:r>
            <w:r>
              <w:rPr>
                <w:rFonts w:hint="eastAsia"/>
                <w:color w:val="auto"/>
                <w:lang w:eastAsia="zh-CN"/>
              </w:rPr>
              <w:t>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eastAsia="zh-CN"/>
              </w:rPr>
              <w:t>区图书馆</w:t>
            </w:r>
            <w:r>
              <w:rPr>
                <w:rFonts w:hint="eastAsia"/>
                <w:color w:val="auto"/>
                <w:lang w:val="en-US" w:eastAsia="zh-CN"/>
              </w:rPr>
              <w:t>2500万；区文化馆少年儿童图书馆1500万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8"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5</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auto"/>
                <w:kern w:val="2"/>
                <w:sz w:val="21"/>
                <w:szCs w:val="22"/>
                <w:lang w:val="en-US" w:eastAsia="zh-CN" w:bidi="ar-SA"/>
              </w:rPr>
            </w:pPr>
          </w:p>
        </w:tc>
        <w:tc>
          <w:tcPr>
            <w:tcW w:w="1262"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数据类</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场馆信息数据</w:t>
            </w:r>
          </w:p>
        </w:tc>
        <w:tc>
          <w:tcPr>
            <w:tcW w:w="1029"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eastAsia="宋体"/>
                <w:color w:val="auto"/>
                <w:lang w:val="en-US" w:eastAsia="zh-CN"/>
              </w:rPr>
            </w:pPr>
            <w:r>
              <w:rPr>
                <w:rFonts w:hint="eastAsia" w:ascii="Arial" w:hAnsi="Arial" w:eastAsia="宋体" w:cs="Arial"/>
                <w:i w:val="0"/>
                <w:caps w:val="0"/>
                <w:color w:val="auto"/>
                <w:spacing w:val="0"/>
                <w:sz w:val="21"/>
                <w:szCs w:val="21"/>
                <w:shd w:val="clear" w:color="auto" w:fill="FFFFFF"/>
              </w:rPr>
              <w:t>≥</w:t>
            </w:r>
            <w:r>
              <w:rPr>
                <w:rFonts w:hint="eastAsia" w:ascii="Arial" w:hAnsi="Arial" w:cs="Arial"/>
                <w:i w:val="0"/>
                <w:caps w:val="0"/>
                <w:color w:val="auto"/>
                <w:spacing w:val="0"/>
                <w:sz w:val="21"/>
                <w:szCs w:val="21"/>
                <w:shd w:val="clear" w:color="auto" w:fill="FFFFFF"/>
                <w:lang w:val="en-US" w:eastAsia="zh-CN"/>
              </w:rPr>
              <w:t>4000</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rPr>
            </w:pPr>
            <w:r>
              <w:rPr>
                <w:rFonts w:hint="eastAsia"/>
                <w:color w:val="auto"/>
              </w:rPr>
              <w:t>万</w:t>
            </w:r>
            <w:r>
              <w:rPr>
                <w:rFonts w:hint="eastAsia"/>
                <w:color w:val="auto"/>
                <w:lang w:eastAsia="zh-CN"/>
              </w:rPr>
              <w:t>元</w:t>
            </w:r>
          </w:p>
        </w:tc>
        <w:tc>
          <w:tcPr>
            <w:tcW w:w="1741"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6</w:t>
            </w:r>
          </w:p>
        </w:tc>
        <w:tc>
          <w:tcPr>
            <w:tcW w:w="958" w:type="dxa"/>
            <w:gridSpan w:val="2"/>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公众</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责任险</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光明区文化馆、少年儿童图书馆公众责任（两馆）、传麒山分馆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auto"/>
                <w:lang w:eastAsia="zh-CN"/>
              </w:rPr>
            </w:pPr>
            <w:r>
              <w:rPr>
                <w:rFonts w:hint="eastAsia"/>
                <w:color w:val="auto"/>
                <w:lang w:eastAsia="zh-CN"/>
              </w:rPr>
              <w:t>在场馆内人身伤亡和财产损失累计赔偿限额</w:t>
            </w:r>
          </w:p>
        </w:tc>
        <w:tc>
          <w:tcPr>
            <w:tcW w:w="1029"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val="en-US" w:eastAsia="zh-CN"/>
              </w:rPr>
              <w:t>由投标方自行拟定方案择优选用</w:t>
            </w:r>
          </w:p>
        </w:tc>
        <w:tc>
          <w:tcPr>
            <w:tcW w:w="1741"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场馆内举办的各类活动、展览等（含所有进入场馆内活动的人员）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auto"/>
                <w:lang w:eastAsia="zh-CN"/>
              </w:rPr>
            </w:pPr>
            <w:r>
              <w:rPr>
                <w:rFonts w:hint="eastAsia"/>
                <w:color w:val="auto"/>
                <w:lang w:eastAsia="zh-CN"/>
              </w:rPr>
              <w:t>在场馆内每次事故赔偿限额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在场馆内财产损失每次事故赔偿限额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在场馆内人身伤亡每次事故赔偿限额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在场馆内每人每次事故人身伤亡赔偿限额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color w:val="auto"/>
                <w:lang w:val="en-US" w:eastAsia="zh-CN"/>
              </w:rPr>
              <w:t>24小时书香亭机器</w:t>
            </w:r>
          </w:p>
          <w:p>
            <w:pPr>
              <w:pStyle w:val="2"/>
              <w:ind w:left="0" w:leftChars="0" w:firstLine="0" w:firstLineChars="0"/>
              <w:rPr>
                <w:rFonts w:hint="eastAsia"/>
                <w:color w:val="auto"/>
                <w:lang w:eastAsia="zh-CN"/>
              </w:rPr>
            </w:pPr>
            <w:r>
              <w:rPr>
                <w:rFonts w:hint="eastAsia" w:ascii="Calibri" w:hAnsi="Calibri" w:eastAsia="宋体" w:cs="Times New Roman"/>
                <w:color w:val="auto"/>
                <w:kern w:val="2"/>
                <w:sz w:val="21"/>
                <w:szCs w:val="22"/>
                <w:lang w:val="en-US" w:eastAsia="zh-CN" w:bidi="ar-SA"/>
              </w:rPr>
              <w:t>（71个）</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color w:val="auto"/>
                <w:lang w:eastAsia="zh-CN"/>
              </w:rPr>
              <w:t>在机器范围内人身伤亡和财产损失累计赔偿限额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color w:val="auto"/>
                <w:lang w:eastAsia="zh-CN"/>
              </w:rPr>
              <w:t>在机器范围内每次事故赔偿限额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color w:val="auto"/>
                <w:lang w:eastAsia="zh-CN"/>
              </w:rPr>
              <w:t>在机器范围内财产损失每次事故赔偿限额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color w:val="auto"/>
                <w:lang w:eastAsia="zh-CN"/>
              </w:rPr>
              <w:t>在机器范围内人身伤亡每次事故赔偿限额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color w:val="auto"/>
                <w:kern w:val="2"/>
                <w:sz w:val="21"/>
                <w:szCs w:val="22"/>
                <w:lang w:val="en-US" w:eastAsia="zh-CN" w:bidi="ar-SA"/>
              </w:rPr>
            </w:pPr>
            <w:r>
              <w:rPr>
                <w:rFonts w:hint="eastAsia"/>
                <w:color w:val="auto"/>
                <w:lang w:eastAsia="zh-CN"/>
              </w:rPr>
              <w:t>在机器范围内每人每次事故人身伤亡赔偿限额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restart"/>
            <w:tcBorders>
              <w:tl2br w:val="nil"/>
              <w:tr2bl w:val="nil"/>
            </w:tcBorders>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Calibri" w:hAnsi="Calibri" w:eastAsia="宋体" w:cs="Times New Roman"/>
                <w:b w:val="0"/>
                <w:bCs w:val="0"/>
                <w:color w:val="auto"/>
                <w:kern w:val="2"/>
                <w:sz w:val="21"/>
                <w:szCs w:val="22"/>
                <w:lang w:val="en-US" w:eastAsia="zh-CN" w:bidi="ar-SA"/>
              </w:rPr>
            </w:pPr>
            <w:r>
              <w:rPr>
                <w:rFonts w:hint="default" w:ascii="Calibri" w:hAnsi="Calibri" w:eastAsia="宋体" w:cs="Times New Roman"/>
                <w:b w:val="0"/>
                <w:bCs w:val="0"/>
                <w:color w:val="auto"/>
                <w:kern w:val="2"/>
                <w:sz w:val="21"/>
                <w:szCs w:val="22"/>
                <w:lang w:val="en-US" w:eastAsia="zh-CN" w:bidi="ar-SA"/>
              </w:rPr>
              <w:t>光明区业余体育学校</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在场馆内人身伤亡和财产损失累计赔偿限额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在场馆内每次事故赔偿限额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在场馆内财产损失每次事故赔偿限额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在场馆内人身伤亡每次事故赔偿限额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color w:val="auto"/>
                <w:kern w:val="2"/>
                <w:sz w:val="21"/>
                <w:szCs w:val="22"/>
                <w:lang w:val="en-US" w:eastAsia="zh-CN" w:bidi="ar-SA"/>
              </w:rPr>
            </w:pPr>
            <w:r>
              <w:rPr>
                <w:rFonts w:hint="eastAsia"/>
                <w:color w:val="auto"/>
                <w:lang w:eastAsia="zh-CN"/>
              </w:rPr>
              <w:t>在场馆内每人每次事故人身伤亡赔偿限额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8"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val="en-US" w:eastAsia="zh-CN"/>
              </w:rPr>
              <w:t>8</w:t>
            </w: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restart"/>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r>
              <w:rPr>
                <w:rFonts w:hint="eastAsia"/>
                <w:color w:val="auto"/>
                <w:lang w:eastAsia="zh-CN"/>
              </w:rPr>
              <w:t>两馆</w:t>
            </w:r>
          </w:p>
          <w:p>
            <w:pPr>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color w:val="auto"/>
                <w:lang w:eastAsia="zh-CN"/>
              </w:rPr>
              <w:t>车位</w:t>
            </w:r>
            <w:r>
              <w:rPr>
                <w:rFonts w:hint="eastAsia"/>
                <w:color w:val="auto"/>
                <w:lang w:val="en-US" w:eastAsia="zh-CN"/>
              </w:rPr>
              <w:t>321个</w:t>
            </w:r>
          </w:p>
        </w:tc>
        <w:tc>
          <w:tcPr>
            <w:tcW w:w="2805" w:type="dxa"/>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r>
              <w:rPr>
                <w:rFonts w:hint="eastAsia"/>
                <w:color w:val="auto"/>
                <w:lang w:eastAsia="zh-CN"/>
              </w:rPr>
              <w:t>地上</w:t>
            </w:r>
            <w:r>
              <w:rPr>
                <w:rFonts w:hint="eastAsia"/>
                <w:color w:val="auto"/>
                <w:lang w:val="en-US" w:eastAsia="zh-CN"/>
              </w:rPr>
              <w:t>+地下每车位每辆车最高赔偿限额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8"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p>
        </w:tc>
        <w:tc>
          <w:tcPr>
            <w:tcW w:w="958" w:type="dxa"/>
            <w:gridSpan w:val="2"/>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1262"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eastAsia="zh-CN"/>
              </w:rPr>
            </w:pPr>
          </w:p>
        </w:tc>
        <w:tc>
          <w:tcPr>
            <w:tcW w:w="2805" w:type="dxa"/>
            <w:tcBorders>
              <w:tl2br w:val="nil"/>
              <w:tr2bl w:val="nil"/>
            </w:tcBorders>
            <w:shd w:val="clear" w:color="auto" w:fill="FFFFFF"/>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color w:val="auto"/>
                <w:lang w:eastAsia="zh-CN"/>
              </w:rPr>
            </w:pPr>
            <w:r>
              <w:rPr>
                <w:rFonts w:hint="eastAsia"/>
                <w:color w:val="auto"/>
                <w:lang w:eastAsia="zh-CN"/>
              </w:rPr>
              <w:t>地上</w:t>
            </w:r>
            <w:r>
              <w:rPr>
                <w:rFonts w:hint="eastAsia"/>
                <w:color w:val="auto"/>
                <w:lang w:val="en-US" w:eastAsia="zh-CN"/>
              </w:rPr>
              <w:t>+地下每车位每辆车每次事故及累计赔偿限额</w:t>
            </w:r>
          </w:p>
        </w:tc>
        <w:tc>
          <w:tcPr>
            <w:tcW w:w="1029"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p>
        </w:tc>
        <w:tc>
          <w:tcPr>
            <w:tcW w:w="1741" w:type="dxa"/>
            <w:vMerge w:val="continue"/>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78" w:type="dxa"/>
            <w:gridSpan w:val="4"/>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资质要求</w:t>
            </w:r>
          </w:p>
        </w:tc>
        <w:tc>
          <w:tcPr>
            <w:tcW w:w="5575" w:type="dxa"/>
            <w:gridSpan w:val="3"/>
            <w:tcBorders>
              <w:tl2br w:val="nil"/>
              <w:tr2bl w:val="nil"/>
            </w:tcBorders>
            <w:shd w:val="clear" w:color="auto" w:fill="FFFFFF"/>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color w:val="auto"/>
                <w:lang w:val="en-US" w:eastAsia="zh-CN"/>
              </w:rPr>
            </w:pPr>
            <w:r>
              <w:rPr>
                <w:rFonts w:hint="eastAsia" w:cs="Times New Roman"/>
                <w:b w:val="0"/>
                <w:bCs w:val="0"/>
                <w:color w:val="auto"/>
                <w:kern w:val="2"/>
                <w:sz w:val="21"/>
                <w:szCs w:val="22"/>
                <w:lang w:val="en-US" w:eastAsia="zh-CN" w:bidi="ar-SA"/>
              </w:rPr>
              <w:t>1</w:t>
            </w:r>
            <w:r>
              <w:rPr>
                <w:rFonts w:hint="eastAsia" w:ascii="Calibri" w:hAnsi="Calibri" w:eastAsia="宋体" w:cs="Times New Roman"/>
                <w:b w:val="0"/>
                <w:bCs w:val="0"/>
                <w:color w:val="auto"/>
                <w:kern w:val="2"/>
                <w:sz w:val="21"/>
                <w:szCs w:val="22"/>
                <w:lang w:val="en-US" w:eastAsia="zh-CN" w:bidi="ar-SA"/>
              </w:rPr>
              <w:t>.需持有</w:t>
            </w:r>
            <w:r>
              <w:rPr>
                <w:rFonts w:hint="eastAsia" w:cs="Times New Roman"/>
                <w:b w:val="0"/>
                <w:bCs w:val="0"/>
                <w:color w:val="auto"/>
                <w:kern w:val="2"/>
                <w:sz w:val="21"/>
                <w:szCs w:val="22"/>
                <w:lang w:val="en-US" w:eastAsia="zh-CN" w:bidi="ar-SA"/>
              </w:rPr>
              <w:t>银保监会</w:t>
            </w:r>
            <w:r>
              <w:rPr>
                <w:rFonts w:hint="eastAsia" w:ascii="Calibri" w:hAnsi="Calibri" w:eastAsia="宋体" w:cs="Times New Roman"/>
                <w:b w:val="0"/>
                <w:bCs w:val="0"/>
                <w:color w:val="auto"/>
                <w:kern w:val="2"/>
                <w:sz w:val="21"/>
                <w:szCs w:val="22"/>
                <w:lang w:val="en-US" w:eastAsia="zh-CN" w:bidi="ar-SA"/>
              </w:rPr>
              <w:t>授权的《经营保险业务许可证》</w:t>
            </w:r>
            <w:r>
              <w:rPr>
                <w:rFonts w:hint="eastAsia" w:cs="Times New Roman"/>
                <w:b w:val="0"/>
                <w:bCs w:val="0"/>
                <w:color w:val="auto"/>
                <w:kern w:val="2"/>
                <w:sz w:val="21"/>
                <w:szCs w:val="22"/>
                <w:lang w:val="en-US" w:eastAsia="zh-CN" w:bidi="ar-SA"/>
              </w:rPr>
              <w:t>，营业范围内需包含财产损失险、责任险或国家保监部门批准的其他业务。</w:t>
            </w:r>
          </w:p>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color w:val="auto"/>
                <w:lang w:eastAsia="zh-CN"/>
              </w:rPr>
            </w:pPr>
            <w:r>
              <w:rPr>
                <w:rFonts w:hint="eastAsia"/>
                <w:color w:val="auto"/>
                <w:lang w:val="en-US" w:eastAsia="zh-CN"/>
              </w:rPr>
              <w:t>2.</w:t>
            </w:r>
            <w:r>
              <w:rPr>
                <w:rFonts w:hint="eastAsia"/>
                <w:color w:val="auto"/>
              </w:rPr>
              <w:t>具有合法的企业法人营业执照，组织机构代码证，税务登记证（提供合法有效的营业执照原件扫描件，原件备查；如企业营业执照未反映经营范围，须提供深圳市市场监督管理局网站</w:t>
            </w:r>
            <w:r>
              <w:rPr>
                <w:rFonts w:hint="eastAsia"/>
                <w:color w:val="auto"/>
                <w:lang w:val="en-US" w:eastAsia="zh-CN"/>
              </w:rPr>
              <w:t>或公司所在地</w:t>
            </w:r>
            <w:r>
              <w:rPr>
                <w:rFonts w:hint="eastAsia"/>
                <w:color w:val="auto"/>
              </w:rPr>
              <w:t>关于供应商经营范围查询结果的截图）</w:t>
            </w:r>
            <w:r>
              <w:rPr>
                <w:rFonts w:hint="eastAsia"/>
                <w:color w:val="auto"/>
                <w:lang w:eastAsia="zh-CN"/>
              </w:rPr>
              <w:t>；</w:t>
            </w:r>
          </w:p>
          <w:p>
            <w:pPr>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color w:val="auto"/>
                <w:lang w:val="en-US" w:eastAsia="zh-CN"/>
              </w:rPr>
            </w:pPr>
            <w:r>
              <w:rPr>
                <w:rFonts w:hint="eastAsia"/>
                <w:color w:val="auto"/>
                <w:lang w:val="en-US" w:eastAsia="zh-CN"/>
              </w:rPr>
              <w:t>3.深圳市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978" w:type="dxa"/>
            <w:gridSpan w:val="4"/>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lang w:val="en-US" w:eastAsia="zh-CN"/>
              </w:rPr>
            </w:pP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其他要求</w:t>
            </w:r>
          </w:p>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p>
        </w:tc>
        <w:tc>
          <w:tcPr>
            <w:tcW w:w="5575" w:type="dxa"/>
            <w:gridSpan w:val="3"/>
            <w:tcBorders>
              <w:tl2br w:val="nil"/>
              <w:tr2bl w:val="nil"/>
            </w:tcBorders>
            <w:shd w:val="clear" w:color="auto" w:fill="FFFFFF"/>
            <w:noWrap w:val="0"/>
            <w:vAlign w:val="center"/>
          </w:tcPr>
          <w:p>
            <w:pPr>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eastAsia"/>
                <w:color w:val="auto"/>
                <w:lang w:eastAsia="zh-CN"/>
              </w:rPr>
              <w:t>需满足：</w:t>
            </w:r>
            <w:r>
              <w:rPr>
                <w:rFonts w:hint="eastAsia"/>
                <w:color w:val="auto"/>
                <w:lang w:val="en-US" w:eastAsia="zh-CN"/>
              </w:rPr>
              <w:t>1.</w:t>
            </w:r>
            <w:r>
              <w:rPr>
                <w:rFonts w:hint="eastAsia"/>
                <w:color w:val="auto"/>
              </w:rPr>
              <w:t>盗抢险扩展条款</w:t>
            </w:r>
            <w:r>
              <w:rPr>
                <w:rFonts w:hint="eastAsia"/>
                <w:color w:val="auto"/>
                <w:lang w:eastAsia="zh-CN"/>
              </w:rPr>
              <w:t>，</w:t>
            </w:r>
            <w:r>
              <w:rPr>
                <w:rFonts w:hint="eastAsia"/>
                <w:color w:val="auto"/>
              </w:rPr>
              <w:t>供水、供气、管道破裂损失条款</w:t>
            </w:r>
            <w:r>
              <w:rPr>
                <w:rFonts w:hint="eastAsia"/>
                <w:color w:val="auto"/>
                <w:lang w:eastAsia="zh-CN"/>
              </w:rPr>
              <w:t>，</w:t>
            </w:r>
            <w:r>
              <w:rPr>
                <w:rFonts w:hint="eastAsia"/>
                <w:color w:val="auto"/>
              </w:rPr>
              <w:t>公用设施故障条款</w:t>
            </w:r>
            <w:r>
              <w:rPr>
                <w:rFonts w:hint="eastAsia"/>
                <w:color w:val="auto"/>
                <w:lang w:eastAsia="zh-CN"/>
              </w:rPr>
              <w:t>，</w:t>
            </w:r>
            <w:r>
              <w:rPr>
                <w:rFonts w:hint="eastAsia"/>
                <w:color w:val="auto"/>
              </w:rPr>
              <w:t>灭火费用扩展条款</w:t>
            </w:r>
            <w:r>
              <w:rPr>
                <w:rFonts w:hint="eastAsia"/>
                <w:color w:val="auto"/>
                <w:lang w:eastAsia="zh-CN"/>
              </w:rPr>
              <w:t>，</w:t>
            </w:r>
            <w:r>
              <w:rPr>
                <w:rFonts w:hint="eastAsia"/>
                <w:color w:val="auto"/>
              </w:rPr>
              <w:t>清</w:t>
            </w:r>
            <w:r>
              <w:rPr>
                <w:rFonts w:hint="eastAsia"/>
                <w:color w:val="auto"/>
                <w:lang w:eastAsia="zh-CN"/>
              </w:rPr>
              <w:t>，</w:t>
            </w:r>
            <w:r>
              <w:rPr>
                <w:rFonts w:hint="eastAsia"/>
                <w:color w:val="auto"/>
              </w:rPr>
              <w:t>理残骸条款</w:t>
            </w:r>
            <w:r>
              <w:rPr>
                <w:rFonts w:hint="eastAsia"/>
                <w:color w:val="auto"/>
                <w:lang w:eastAsia="zh-CN"/>
              </w:rPr>
              <w:t>，</w:t>
            </w:r>
            <w:r>
              <w:rPr>
                <w:rFonts w:hint="eastAsia"/>
                <w:color w:val="auto"/>
              </w:rPr>
              <w:t>专业费用条款</w:t>
            </w:r>
            <w:r>
              <w:rPr>
                <w:rFonts w:hint="eastAsia"/>
                <w:color w:val="auto"/>
                <w:lang w:eastAsia="zh-CN"/>
              </w:rPr>
              <w:t>，</w:t>
            </w:r>
            <w:r>
              <w:rPr>
                <w:rFonts w:hint="eastAsia"/>
                <w:color w:val="auto"/>
              </w:rPr>
              <w:t>预付赔款条款</w:t>
            </w:r>
            <w:r>
              <w:rPr>
                <w:rFonts w:hint="eastAsia"/>
                <w:color w:val="auto"/>
                <w:lang w:eastAsia="zh-CN"/>
              </w:rPr>
              <w:t>，</w:t>
            </w:r>
            <w:r>
              <w:rPr>
                <w:rFonts w:hint="eastAsia"/>
                <w:color w:val="auto"/>
              </w:rPr>
              <w:t>重置价值条款</w:t>
            </w:r>
            <w:r>
              <w:rPr>
                <w:rFonts w:hint="eastAsia"/>
                <w:color w:val="auto"/>
                <w:lang w:eastAsia="zh-CN"/>
              </w:rPr>
              <w:t>，</w:t>
            </w:r>
            <w:r>
              <w:rPr>
                <w:rFonts w:hint="eastAsia"/>
                <w:color w:val="auto"/>
              </w:rPr>
              <w:t>自动喷淋系统水损扩展条款</w:t>
            </w:r>
            <w:r>
              <w:rPr>
                <w:rFonts w:hint="eastAsia"/>
                <w:color w:val="auto"/>
                <w:lang w:eastAsia="zh-CN"/>
              </w:rPr>
              <w:t>，</w:t>
            </w:r>
            <w:r>
              <w:rPr>
                <w:rFonts w:hint="eastAsia"/>
                <w:color w:val="auto"/>
              </w:rPr>
              <w:t>建筑物外部附</w:t>
            </w:r>
            <w:r>
              <w:rPr>
                <w:rFonts w:hint="eastAsia"/>
                <w:color w:val="auto"/>
                <w:lang w:eastAsia="zh-CN"/>
              </w:rPr>
              <w:t>，</w:t>
            </w:r>
            <w:r>
              <w:rPr>
                <w:rFonts w:hint="eastAsia"/>
                <w:color w:val="auto"/>
              </w:rPr>
              <w:t>属设施扩展条款</w:t>
            </w:r>
            <w:r>
              <w:rPr>
                <w:rFonts w:hint="eastAsia"/>
                <w:color w:val="auto"/>
                <w:lang w:eastAsia="zh-CN"/>
              </w:rPr>
              <w:t>，</w:t>
            </w:r>
            <w:r>
              <w:rPr>
                <w:rFonts w:hint="eastAsia"/>
                <w:color w:val="auto"/>
              </w:rPr>
              <w:t>玻璃破碎扩展条款</w:t>
            </w:r>
            <w:r>
              <w:rPr>
                <w:rFonts w:hint="eastAsia"/>
                <w:color w:val="auto"/>
                <w:lang w:eastAsia="zh-CN"/>
              </w:rPr>
              <w:t>，</w:t>
            </w:r>
            <w:r>
              <w:rPr>
                <w:rFonts w:hint="eastAsia"/>
                <w:color w:val="auto"/>
              </w:rPr>
              <w:t>附加暴风、暴雨、洪水保险条款</w:t>
            </w:r>
            <w:r>
              <w:rPr>
                <w:rFonts w:hint="eastAsia"/>
                <w:color w:val="auto"/>
                <w:lang w:eastAsia="zh-CN"/>
              </w:rPr>
              <w:t>，</w:t>
            </w:r>
            <w:r>
              <w:rPr>
                <w:rFonts w:hint="eastAsia"/>
                <w:color w:val="auto"/>
              </w:rPr>
              <w:t>火灾、爆炸、烟熏及水损条款</w:t>
            </w:r>
            <w:r>
              <w:rPr>
                <w:rFonts w:hint="eastAsia"/>
                <w:color w:val="auto"/>
                <w:lang w:eastAsia="zh-CN"/>
              </w:rPr>
              <w:t>，</w:t>
            </w:r>
            <w:r>
              <w:rPr>
                <w:rFonts w:hint="eastAsia"/>
                <w:color w:val="auto"/>
              </w:rPr>
              <w:t>灭火及所致水损责任条款</w:t>
            </w:r>
            <w:r>
              <w:rPr>
                <w:rFonts w:hint="eastAsia"/>
                <w:color w:val="auto"/>
                <w:lang w:eastAsia="zh-CN"/>
              </w:rPr>
              <w:t>，广告及装饰装置条款，电梯责任条款，</w:t>
            </w:r>
            <w:r>
              <w:rPr>
                <w:rFonts w:hint="eastAsia"/>
                <w:color w:val="auto"/>
              </w:rPr>
              <w:t>停车场责任条款</w:t>
            </w:r>
            <w:r>
              <w:rPr>
                <w:rFonts w:hint="eastAsia"/>
                <w:color w:val="auto"/>
                <w:lang w:eastAsia="zh-CN"/>
              </w:rPr>
              <w:t>，</w:t>
            </w:r>
            <w:r>
              <w:rPr>
                <w:rFonts w:hint="eastAsia"/>
                <w:color w:val="auto"/>
              </w:rPr>
              <w:t>24小时个人意外条款</w:t>
            </w:r>
            <w:r>
              <w:rPr>
                <w:rFonts w:hint="eastAsia"/>
                <w:color w:val="auto"/>
                <w:lang w:eastAsia="zh-CN"/>
              </w:rPr>
              <w:t>，</w:t>
            </w:r>
            <w:r>
              <w:rPr>
                <w:rFonts w:hint="eastAsia"/>
                <w:color w:val="auto"/>
              </w:rPr>
              <w:t>临时海外工作培训以及休假条款</w:t>
            </w:r>
            <w:r>
              <w:rPr>
                <w:rFonts w:hint="eastAsia"/>
                <w:color w:val="auto"/>
                <w:lang w:val="en-US" w:eastAsia="zh-CN"/>
              </w:rPr>
              <w:t xml:space="preserve"> </w:t>
            </w:r>
            <w:r>
              <w:rPr>
                <w:rFonts w:hint="eastAsia"/>
                <w:color w:val="auto"/>
                <w:lang w:eastAsia="zh-CN"/>
              </w:rPr>
              <w:t>。</w:t>
            </w:r>
          </w:p>
          <w:p>
            <w:pPr>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color w:val="auto"/>
                <w:lang w:val="en-US" w:eastAsia="zh-CN"/>
              </w:rPr>
              <w:t>服务有效期为一年，在各险种中注明免赔额及零免赔，需在保单中逐条列明需求明细。</w:t>
            </w:r>
          </w:p>
          <w:p>
            <w:pPr>
              <w:pStyle w:val="5"/>
              <w:numPr>
                <w:ilvl w:val="0"/>
                <w:numId w:val="1"/>
              </w:numPr>
              <w:ind w:left="0" w:leftChars="0" w:firstLine="0" w:firstLineChars="0"/>
              <w:jc w:val="left"/>
              <w:rPr>
                <w:rFonts w:hint="default"/>
                <w:color w:val="auto"/>
                <w:lang w:val="en-US" w:eastAsia="zh-CN"/>
              </w:rPr>
            </w:pPr>
            <w:r>
              <w:rPr>
                <w:rFonts w:hint="default" w:ascii="Calibri" w:hAnsi="Calibri" w:eastAsia="宋体" w:cs="Times New Roman"/>
                <w:b w:val="0"/>
                <w:bCs w:val="0"/>
                <w:color w:val="auto"/>
                <w:kern w:val="2"/>
                <w:sz w:val="21"/>
                <w:szCs w:val="22"/>
                <w:lang w:val="en-US" w:eastAsia="zh-CN" w:bidi="ar-SA"/>
              </w:rPr>
              <w:t>体校训练的</w:t>
            </w:r>
            <w:r>
              <w:rPr>
                <w:rFonts w:hint="eastAsia" w:ascii="Calibri" w:hAnsi="Calibri" w:eastAsia="宋体" w:cs="Times New Roman"/>
                <w:b w:val="0"/>
                <w:bCs w:val="0"/>
                <w:color w:val="auto"/>
                <w:kern w:val="2"/>
                <w:sz w:val="21"/>
                <w:szCs w:val="22"/>
                <w:lang w:val="en-US" w:eastAsia="zh-CN" w:bidi="ar-SA"/>
              </w:rPr>
              <w:t>项目包括：</w:t>
            </w:r>
            <w:r>
              <w:rPr>
                <w:rFonts w:hint="default" w:ascii="Calibri" w:hAnsi="Calibri" w:eastAsia="宋体" w:cs="Times New Roman"/>
                <w:b w:val="0"/>
                <w:bCs w:val="0"/>
                <w:color w:val="auto"/>
                <w:kern w:val="2"/>
                <w:sz w:val="21"/>
                <w:szCs w:val="22"/>
                <w:lang w:val="en-US" w:eastAsia="zh-CN" w:bidi="ar-SA"/>
              </w:rPr>
              <w:t>柔道，跆拳道，空手道，游泳，网球，乒乓球，羽毛球，攀岩</w:t>
            </w:r>
            <w:r>
              <w:rPr>
                <w:rFonts w:hint="eastAsia" w:ascii="Calibri" w:hAnsi="Calibri" w:eastAsia="宋体" w:cs="Times New Roman"/>
                <w:b w:val="0"/>
                <w:bCs w:val="0"/>
                <w:color w:val="auto"/>
                <w:kern w:val="2"/>
                <w:sz w:val="21"/>
                <w:szCs w:val="22"/>
                <w:lang w:val="en-US" w:eastAsia="zh-CN" w:bidi="ar-SA"/>
              </w:rPr>
              <w:t>，</w:t>
            </w:r>
            <w:r>
              <w:rPr>
                <w:rFonts w:hint="default" w:ascii="Calibri" w:hAnsi="Calibri" w:eastAsia="宋体" w:cs="Times New Roman"/>
                <w:b w:val="0"/>
                <w:bCs w:val="0"/>
                <w:color w:val="auto"/>
                <w:kern w:val="2"/>
                <w:sz w:val="21"/>
                <w:szCs w:val="22"/>
                <w:lang w:val="en-US" w:eastAsia="zh-CN" w:bidi="ar-SA"/>
              </w:rPr>
              <w:t>柔道，跆拳道，空手</w:t>
            </w:r>
            <w:r>
              <w:rPr>
                <w:rFonts w:hint="eastAsia" w:ascii="Calibri" w:hAnsi="Calibri" w:eastAsia="宋体" w:cs="Times New Roman"/>
                <w:b w:val="0"/>
                <w:bCs w:val="0"/>
                <w:color w:val="auto"/>
                <w:kern w:val="2"/>
                <w:sz w:val="21"/>
                <w:szCs w:val="22"/>
                <w:lang w:val="en-US" w:eastAsia="zh-CN" w:bidi="ar-SA"/>
              </w:rPr>
              <w:t>等。</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A5AA8"/>
    <w:multiLevelType w:val="singleLevel"/>
    <w:tmpl w:val="C87A5AA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68F025B6"/>
    <w:rsid w:val="00440ED6"/>
    <w:rsid w:val="00D43E36"/>
    <w:rsid w:val="01210C0E"/>
    <w:rsid w:val="04446159"/>
    <w:rsid w:val="0AED0D04"/>
    <w:rsid w:val="0D2704F5"/>
    <w:rsid w:val="0DA94257"/>
    <w:rsid w:val="0DBB17D1"/>
    <w:rsid w:val="17E14C0A"/>
    <w:rsid w:val="1B5E2C38"/>
    <w:rsid w:val="1E8D3717"/>
    <w:rsid w:val="22A2729A"/>
    <w:rsid w:val="23825BAB"/>
    <w:rsid w:val="242953E6"/>
    <w:rsid w:val="252739A6"/>
    <w:rsid w:val="2A123109"/>
    <w:rsid w:val="2EA339A5"/>
    <w:rsid w:val="31B923E9"/>
    <w:rsid w:val="330A0BAA"/>
    <w:rsid w:val="357C77DF"/>
    <w:rsid w:val="398D77E1"/>
    <w:rsid w:val="403F2B2E"/>
    <w:rsid w:val="46B95551"/>
    <w:rsid w:val="48C256E1"/>
    <w:rsid w:val="49544B97"/>
    <w:rsid w:val="4A1E46B9"/>
    <w:rsid w:val="4B72689C"/>
    <w:rsid w:val="4D6D0D4E"/>
    <w:rsid w:val="4D78129B"/>
    <w:rsid w:val="4DD35517"/>
    <w:rsid w:val="4F014DE8"/>
    <w:rsid w:val="52D40E84"/>
    <w:rsid w:val="592F169F"/>
    <w:rsid w:val="5A266FC0"/>
    <w:rsid w:val="5CE6361A"/>
    <w:rsid w:val="5D106324"/>
    <w:rsid w:val="5DAC0F59"/>
    <w:rsid w:val="5FE15FD7"/>
    <w:rsid w:val="603E2B5E"/>
    <w:rsid w:val="665E7BD6"/>
    <w:rsid w:val="68F025B6"/>
    <w:rsid w:val="6C034181"/>
    <w:rsid w:val="72AD5F3E"/>
    <w:rsid w:val="72B233BA"/>
    <w:rsid w:val="73232A22"/>
    <w:rsid w:val="785D7950"/>
    <w:rsid w:val="78ED545F"/>
    <w:rsid w:val="7AEB24A4"/>
    <w:rsid w:val="7C2F5D59"/>
    <w:rsid w:val="7C557640"/>
    <w:rsid w:val="7C685F08"/>
    <w:rsid w:val="7F65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9"/>
    <w:pPr>
      <w:keepNext/>
      <w:jc w:val="center"/>
      <w:outlineLvl w:val="0"/>
    </w:pPr>
    <w:rPr>
      <w:b/>
      <w:bCs/>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next w:val="4"/>
    <w:autoRedefine/>
    <w:qFormat/>
    <w:uiPriority w:val="0"/>
    <w:pPr>
      <w:ind w:firstLine="632" w:firstLineChars="200"/>
    </w:pPr>
    <w:rPr>
      <w:rFonts w:ascii="仿宋_GB2312" w:hAnsi="华文楷体" w:eastAsia="仿宋_GB2312"/>
      <w:sz w:val="32"/>
    </w:rPr>
  </w:style>
  <w:style w:type="paragraph" w:styleId="4">
    <w:name w:val="envelope return"/>
    <w:basedOn w:val="1"/>
    <w:qFormat/>
    <w:uiPriority w:val="0"/>
    <w:pPr>
      <w:snapToGrid w:val="0"/>
    </w:pPr>
    <w:rPr>
      <w:rFonts w:ascii="Arial" w:hAnsi="Arial"/>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1815</Characters>
  <Lines>0</Lines>
  <Paragraphs>0</Paragraphs>
  <TotalTime>39</TotalTime>
  <ScaleCrop>false</ScaleCrop>
  <LinksUpToDate>false</LinksUpToDate>
  <CharactersWithSpaces>1859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2020-04-26T08:12:00Z</dcterms:created>
  <dc:creator>吴培隆</dc:creator>
  <cp:lastModifiedBy> 许德寿.</cp:lastModifiedBy>
  <cp:lastPrinted>2020-04-26T08:39:00Z</cp:lastPrinted>
  <dcterms:modified xsi:type="dcterms:W3CDTF">2024-07-08T06:38:18Z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B9CC84F21949470F9457D8D1C9691F72_13</vt:lpwstr>
  </property>
  <property fmtid="{D5CDD505-2E9C-101B-9397-08002B2CF9AE}" pid="4" name="commondata">
    <vt:lpwstr>eyJoZGlkIjoiNmMwMzM1ODMzMDdlNjY1NDg0NTlmYzE2ZTQwZWE2MzcifQ==</vt:lpwstr>
  </property>
</Properties>
</file>