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sz w:val="32"/>
          <w:szCs w:val="32"/>
          <w:lang w:val="en-US" w:eastAsia="zh-CN"/>
        </w:rPr>
        <w:t>2023年光明区网球技术等级测试挑战赛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线下网球等级挑战赛</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人民币（高于此价格无效）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highlight w:val="none"/>
        </w:rPr>
        <w:t>为贯彻落实好国家体育总局制定运动项目技术等级工作部署，扎实推进网球技术等级制各项工作，完善和鼓励实行国际网球技术等级标准，鼓励我区更多的群众参与网球运动。</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举办2023年光明区网球技术等级测试挑战赛。</w:t>
      </w:r>
      <w:r>
        <w:rPr>
          <w:rFonts w:hint="eastAsia" w:ascii="仿宋_GB2312" w:hAnsi="仿宋_GB2312" w:eastAsia="仿宋_GB2312" w:cs="仿宋_GB2312"/>
          <w:color w:val="auto"/>
          <w:sz w:val="32"/>
          <w:szCs w:val="32"/>
          <w:highlight w:val="none"/>
          <w:lang w:eastAsia="zh-CN"/>
        </w:rPr>
        <w:t>赛事计划在</w:t>
      </w:r>
      <w:r>
        <w:rPr>
          <w:rFonts w:hint="eastAsia" w:ascii="仿宋_GB2312" w:hAnsi="仿宋_GB2312" w:eastAsia="仿宋_GB2312" w:cs="仿宋_GB2312"/>
          <w:color w:val="auto"/>
          <w:sz w:val="32"/>
          <w:szCs w:val="32"/>
          <w:highlight w:val="none"/>
          <w:lang w:val="en-US" w:eastAsia="zh-CN"/>
        </w:rPr>
        <w:t>11月完成，执行标准为2天，分为青少年组、成人组和短网组3个组别各64人，共计192名运动员竞赛。</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项目管理和服务要求</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3"/>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物料</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1、提供1个赛事主背景、不低于1个副背景（成绩公告栏、拍照墙等）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2、赛事现场提供横幅、刀旗、指示牌等物料进行场地布置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3、提供赛事所需测试设备、比赛用球、帐篷、桌椅、音响等器材物料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4、秩序册40本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服务</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1、为赛事提供裁判服务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2、为赛事提供现场安保和医疗服务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3、做好赛事现场执行工作服务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4、做好赛事开闭幕式服务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1、保障现场所需饮用水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2、为现场工作人员</w:t>
            </w:r>
            <w:r>
              <w:rPr>
                <w:rFonts w:hint="eastAsia" w:ascii="仿宋_GB2312" w:hAnsi="仿宋_GB2312" w:eastAsia="仿宋_GB2312" w:cs="仿宋_GB2312"/>
                <w:color w:val="auto"/>
                <w:kern w:val="0"/>
                <w:sz w:val="32"/>
                <w:szCs w:val="32"/>
                <w:highlight w:val="none"/>
                <w:lang w:val="en-US" w:eastAsia="zh-CN"/>
              </w:rPr>
              <w:t>提供餐费补贴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3、提供其他现场所需消耗品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w:t>
            </w:r>
          </w:p>
          <w:p>
            <w:pPr>
              <w:widowControl/>
              <w:jc w:val="center"/>
              <w:rPr>
                <w:rFonts w:hint="eastAsia"/>
                <w:lang w:val="en-US" w:eastAsia="zh-CN"/>
              </w:rPr>
            </w:pPr>
            <w:r>
              <w:rPr>
                <w:rFonts w:hint="eastAsia" w:ascii="仿宋_GB2312" w:hAnsi="仿宋_GB2312" w:eastAsia="仿宋_GB2312" w:cs="仿宋_GB2312"/>
                <w:color w:val="000000"/>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1、提供赛事摄像服务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2、提供赛事摄影服务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3、提供赛事直播服务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4、提供赛事媒体宣传服务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保险</w:t>
            </w:r>
          </w:p>
        </w:tc>
        <w:tc>
          <w:tcPr>
            <w:tcW w:w="65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为赛事购买专业赛事保险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总保费不超过2000元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奖金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奖品</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1、为赛事设置总价值不高于30000元的奖品2、为赛事提供奖牌及认证等级证书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1、属于租赁的项目需清楚描述为租赁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b w:val="0"/>
                <w:bCs w:val="0"/>
                <w:color w:val="auto"/>
                <w:kern w:val="0"/>
                <w:sz w:val="32"/>
                <w:szCs w:val="32"/>
                <w:lang w:val="en-US" w:eastAsia="zh-CN"/>
              </w:rPr>
              <w:t>2、做好赛事物资</w:t>
            </w:r>
            <w:r>
              <w:rPr>
                <w:rFonts w:hint="eastAsia" w:ascii="仿宋_GB2312" w:hAnsi="仿宋_GB2312" w:eastAsia="仿宋_GB2312" w:cs="仿宋_GB2312"/>
                <w:color w:val="000000"/>
                <w:kern w:val="0"/>
                <w:sz w:val="32"/>
                <w:szCs w:val="32"/>
                <w:lang w:val="en-US" w:eastAsia="zh-CN"/>
              </w:rPr>
              <w:t>运输工作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宋体" w:eastAsia="仿宋_GB2312"/>
                <w:b w:val="0"/>
                <w:bCs w:val="0"/>
                <w:color w:val="auto"/>
                <w:kern w:val="0"/>
                <w:sz w:val="32"/>
                <w:szCs w:val="32"/>
                <w:lang w:eastAsia="zh-CN"/>
              </w:rPr>
              <w:t>活动</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宋体" w:eastAsia="仿宋_GB2312"/>
                <w:b w:val="0"/>
                <w:bCs w:val="0"/>
                <w:color w:val="auto"/>
                <w:kern w:val="0"/>
                <w:sz w:val="32"/>
                <w:szCs w:val="32"/>
                <w:lang w:val="en-US" w:eastAsia="zh-CN"/>
              </w:rPr>
              <w:t>4、其它未尽要求可按实际执行需求报价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6、每场比赛结束后一周内提交单场比赛总结报告，整个项目结束后一周内提交项目比赛总结报告，半个月内将比赛有关资料整理移交给采购单位（电子版和纸质版资料），并制作资料汇编（编制打印成册）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不超过30万元（含税）</w:t>
            </w:r>
          </w:p>
        </w:tc>
      </w:tr>
    </w:tbl>
    <w:p>
      <w:pPr>
        <w:keepNext w:val="0"/>
        <w:keepLines w:val="0"/>
        <w:pageBreakBefore w:val="0"/>
        <w:kinsoku/>
        <w:wordWrap/>
        <w:overflowPunct/>
        <w:topLinePunct w:val="0"/>
        <w:autoSpaceDN/>
        <w:bidi w:val="0"/>
        <w:adjustRightInd/>
        <w:snapToGrid/>
        <w:spacing w:line="560" w:lineRule="exact"/>
        <w:textAlignment w:val="auto"/>
        <w:rPr>
          <w:rFonts w:hint="eastAsia" w:ascii="黑体" w:hAnsi="黑体" w:eastAsia="黑体" w:cs="仿宋"/>
          <w:color w:val="auto"/>
          <w:sz w:val="32"/>
          <w:szCs w:val="32"/>
          <w:lang w:eastAsia="zh-CN"/>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供应商应准备“</w:t>
      </w:r>
      <w:r>
        <w:rPr>
          <w:rFonts w:hint="eastAsia" w:ascii="仿宋_GB2312" w:hAnsi="宋体" w:eastAsia="仿宋_GB2312"/>
          <w:color w:val="auto"/>
          <w:kern w:val="0"/>
          <w:sz w:val="32"/>
          <w:szCs w:val="32"/>
          <w:lang w:eastAsia="zh-CN"/>
        </w:rPr>
        <w:t>投标文件</w:t>
      </w:r>
      <w:r>
        <w:rPr>
          <w:rFonts w:hint="eastAsia" w:ascii="仿宋_GB2312" w:hAnsi="宋体" w:eastAsia="仿宋_GB2312"/>
          <w:color w:val="auto"/>
          <w:kern w:val="0"/>
          <w:sz w:val="32"/>
          <w:szCs w:val="32"/>
        </w:rPr>
        <w:t>”一式</w:t>
      </w:r>
      <w:r>
        <w:rPr>
          <w:rFonts w:hint="eastAsia" w:ascii="仿宋_GB2312" w:hAnsi="宋体" w:eastAsia="仿宋_GB2312"/>
          <w:color w:val="auto"/>
          <w:kern w:val="0"/>
          <w:sz w:val="32"/>
          <w:szCs w:val="32"/>
          <w:lang w:eastAsia="zh-CN"/>
        </w:rPr>
        <w:t>五</w:t>
      </w:r>
      <w:r>
        <w:rPr>
          <w:rFonts w:hint="eastAsia" w:ascii="仿宋_GB2312" w:hAnsi="宋体" w:eastAsia="仿宋_GB2312"/>
          <w:color w:val="auto"/>
          <w:kern w:val="0"/>
          <w:sz w:val="32"/>
          <w:szCs w:val="32"/>
        </w:rPr>
        <w:t>份（一正</w:t>
      </w:r>
      <w:r>
        <w:rPr>
          <w:rFonts w:hint="eastAsia" w:ascii="仿宋_GB2312" w:hAnsi="宋体" w:eastAsia="仿宋_GB2312"/>
          <w:color w:val="auto"/>
          <w:kern w:val="0"/>
          <w:sz w:val="32"/>
          <w:szCs w:val="32"/>
          <w:lang w:eastAsia="zh-CN"/>
        </w:rPr>
        <w:t>四</w:t>
      </w:r>
      <w:r>
        <w:rPr>
          <w:rFonts w:hint="eastAsia" w:ascii="仿宋_GB2312" w:hAnsi="宋体" w:eastAsia="仿宋_GB2312"/>
          <w:color w:val="auto"/>
          <w:kern w:val="0"/>
          <w:sz w:val="32"/>
          <w:szCs w:val="32"/>
        </w:rPr>
        <w:t>副），</w:t>
      </w:r>
      <w:r>
        <w:rPr>
          <w:rFonts w:hint="eastAsia" w:ascii="仿宋_GB2312" w:hAnsi="宋体" w:eastAsia="仿宋_GB2312"/>
          <w:color w:val="auto"/>
          <w:kern w:val="0"/>
          <w:sz w:val="32"/>
          <w:szCs w:val="32"/>
          <w:lang w:eastAsia="zh-CN"/>
        </w:rPr>
        <w:t>并编制印刷成册，不印刷成册（仅</w:t>
      </w:r>
      <w:r>
        <w:rPr>
          <w:rFonts w:hint="eastAsia" w:ascii="仿宋_GB2312" w:hAnsi="宋体" w:eastAsia="仿宋_GB2312"/>
          <w:color w:val="auto"/>
          <w:kern w:val="0"/>
          <w:sz w:val="32"/>
          <w:szCs w:val="32"/>
          <w:lang w:val="en-US" w:eastAsia="zh-CN"/>
        </w:rPr>
        <w:t>A4纸打印装订</w:t>
      </w:r>
      <w:r>
        <w:rPr>
          <w:rFonts w:hint="eastAsia" w:ascii="仿宋_GB2312" w:hAnsi="宋体" w:eastAsia="仿宋_GB2312"/>
          <w:color w:val="auto"/>
          <w:kern w:val="0"/>
          <w:sz w:val="32"/>
          <w:szCs w:val="32"/>
          <w:lang w:eastAsia="zh-CN"/>
        </w:rPr>
        <w:t>）视为无效投标。同时需提供“投标文件”电子版，保存到</w:t>
      </w:r>
      <w:r>
        <w:rPr>
          <w:rFonts w:hint="eastAsia" w:ascii="仿宋_GB2312" w:hAnsi="宋体" w:eastAsia="仿宋_GB2312"/>
          <w:color w:val="auto"/>
          <w:kern w:val="0"/>
          <w:sz w:val="32"/>
          <w:szCs w:val="32"/>
          <w:lang w:val="en-US" w:eastAsia="zh-CN"/>
        </w:rPr>
        <w:t>U盘中。U盘及纸质文件都</w:t>
      </w:r>
      <w:r>
        <w:rPr>
          <w:rFonts w:hint="eastAsia" w:ascii="仿宋_GB2312" w:hAnsi="宋体" w:eastAsia="仿宋_GB2312"/>
          <w:color w:val="auto"/>
          <w:kern w:val="0"/>
          <w:sz w:val="32"/>
          <w:szCs w:val="32"/>
        </w:rPr>
        <w:t>装在信封内密封，封口处</w:t>
      </w:r>
      <w:r>
        <w:rPr>
          <w:rFonts w:hint="eastAsia" w:ascii="仿宋_GB2312" w:hAnsi="宋体" w:eastAsia="仿宋_GB2312"/>
          <w:color w:val="auto"/>
          <w:kern w:val="0"/>
          <w:sz w:val="32"/>
          <w:szCs w:val="32"/>
          <w:lang w:eastAsia="zh-CN"/>
        </w:rPr>
        <w:t>须加盖</w:t>
      </w:r>
      <w:r>
        <w:rPr>
          <w:rFonts w:hint="eastAsia" w:ascii="仿宋_GB2312" w:hAnsi="宋体" w:eastAsia="仿宋_GB2312"/>
          <w:color w:val="auto"/>
          <w:kern w:val="0"/>
          <w:sz w:val="32"/>
          <w:szCs w:val="32"/>
        </w:rPr>
        <w:t>单位公章，并在信封封面注明：</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1.响应项目；</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2.供应商名称；</w:t>
      </w:r>
    </w:p>
    <w:p>
      <w:pPr>
        <w:pStyle w:val="5"/>
        <w:ind w:firstLine="64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3.联系人姓名、电话。</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（二）文件构成要求</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商务部分，主要包括但不限于以下内容：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）标书目录</w:t>
      </w:r>
      <w:r>
        <w:rPr>
          <w:rFonts w:hint="eastAsia" w:ascii="仿宋_GB2312" w:hAnsi="宋体" w:eastAsia="仿宋_GB2312"/>
          <w:color w:val="auto"/>
          <w:kern w:val="0"/>
          <w:sz w:val="32"/>
          <w:szCs w:val="32"/>
        </w:rPr>
        <w:t>；</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商事主体登记及备案信息查询记录，并加盖供应商单位公章；</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供应商情况介绍（含资质、荣誉等）；</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设想、总体方案；</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w:t>
      </w:r>
      <w:r>
        <w:rPr>
          <w:rFonts w:hint="eastAsia" w:ascii="仿宋_GB2312" w:hAnsi="仿宋_GB2312" w:eastAsia="仿宋_GB2312" w:cs="仿宋_GB2312"/>
          <w:color w:val="auto"/>
          <w:kern w:val="0"/>
          <w:sz w:val="32"/>
          <w:szCs w:val="32"/>
          <w:lang w:eastAsia="zh-CN"/>
        </w:rPr>
        <w:t>的其他</w:t>
      </w:r>
      <w:r>
        <w:rPr>
          <w:rFonts w:hint="eastAsia" w:ascii="仿宋_GB2312" w:hAnsi="仿宋_GB2312" w:eastAsia="仿宋_GB2312" w:cs="仿宋_GB2312"/>
          <w:color w:val="auto"/>
          <w:kern w:val="0"/>
          <w:sz w:val="32"/>
          <w:szCs w:val="32"/>
        </w:rPr>
        <w:t>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活动策划”“</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”“组织体育赛事活动”等相关内容，</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w:t>
      </w:r>
      <w:r>
        <w:rPr>
          <w:rFonts w:hint="eastAsia" w:ascii="仿宋_GB2312" w:hAnsi="仿宋_GB2312" w:eastAsia="仿宋_GB2312" w:cs="仿宋_GB2312"/>
          <w:color w:val="auto"/>
          <w:sz w:val="32"/>
          <w:szCs w:val="32"/>
          <w:lang w:eastAsia="zh-CN"/>
        </w:rPr>
        <w:t>单位签订的</w:t>
      </w:r>
      <w:r>
        <w:rPr>
          <w:rFonts w:hint="eastAsia" w:ascii="仿宋_GB2312" w:hAnsi="仿宋_GB2312" w:eastAsia="仿宋_GB2312" w:cs="仿宋_GB2312"/>
          <w:color w:val="auto"/>
          <w:sz w:val="32"/>
          <w:szCs w:val="32"/>
        </w:rPr>
        <w:t>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投标供应商应先到项目地点踏勘以充分了解项目的位置、情况、道路及</w:t>
      </w:r>
      <w:r>
        <w:rPr>
          <w:rFonts w:hint="eastAsia" w:ascii="仿宋_GB2312" w:hAnsi="仿宋_GB2312" w:eastAsia="仿宋_GB2312" w:cs="仿宋_GB2312"/>
          <w:color w:val="auto"/>
          <w:sz w:val="32"/>
          <w:szCs w:val="32"/>
          <w:lang w:eastAsia="zh-CN"/>
        </w:rPr>
        <w:t>任何其他</w:t>
      </w:r>
      <w:r>
        <w:rPr>
          <w:rFonts w:hint="eastAsia" w:ascii="仿宋_GB2312" w:hAnsi="仿宋_GB2312" w:eastAsia="仿宋_GB2312" w:cs="仿宋_GB2312"/>
          <w:color w:val="auto"/>
          <w:sz w:val="32"/>
          <w:szCs w:val="32"/>
        </w:rPr>
        <w:t>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w:t>
      </w:r>
      <w:bookmarkStart w:id="0" w:name="_GoBack"/>
      <w:bookmarkEnd w:id="0"/>
      <w:r>
        <w:rPr>
          <w:rFonts w:hint="eastAsia" w:ascii="仿宋_GB2312" w:hAnsi="仿宋_GB2312" w:eastAsia="仿宋_GB2312" w:cs="仿宋_GB2312"/>
          <w:color w:val="auto"/>
          <w:sz w:val="32"/>
          <w:lang w:eastAsia="zh-CN"/>
        </w:rPr>
        <w:t>南方都市报</w:t>
      </w:r>
      <w:r>
        <w:rPr>
          <w:rFonts w:hint="eastAsia" w:ascii="仿宋_GB2312" w:hAnsi="仿宋_GB2312" w:eastAsia="仿宋_GB2312" w:cs="仿宋_GB2312"/>
          <w:color w:val="auto"/>
          <w:sz w:val="32"/>
        </w:rPr>
        <w:t>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CB99D"/>
    <w:multiLevelType w:val="singleLevel"/>
    <w:tmpl w:val="D82CB99D"/>
    <w:lvl w:ilvl="0" w:tentative="0">
      <w:start w:val="1"/>
      <w:numFmt w:val="decimal"/>
      <w:suff w:val="nothing"/>
      <w:lvlText w:val="%1、"/>
      <w:lvlJc w:val="left"/>
    </w:lvl>
  </w:abstractNum>
  <w:abstractNum w:abstractNumId="1">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ED560D9"/>
    <w:rsid w:val="0004161F"/>
    <w:rsid w:val="000F7D23"/>
    <w:rsid w:val="001115CF"/>
    <w:rsid w:val="00167A43"/>
    <w:rsid w:val="001954E9"/>
    <w:rsid w:val="00257182"/>
    <w:rsid w:val="002656F3"/>
    <w:rsid w:val="00267055"/>
    <w:rsid w:val="0026709D"/>
    <w:rsid w:val="00282C2C"/>
    <w:rsid w:val="00290288"/>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E455BA"/>
    <w:rsid w:val="03577A2F"/>
    <w:rsid w:val="07B14AD9"/>
    <w:rsid w:val="07E16E8A"/>
    <w:rsid w:val="08F7258B"/>
    <w:rsid w:val="09896468"/>
    <w:rsid w:val="0C00063F"/>
    <w:rsid w:val="0CE560AB"/>
    <w:rsid w:val="115C235F"/>
    <w:rsid w:val="165B1E85"/>
    <w:rsid w:val="18B23232"/>
    <w:rsid w:val="19B50E83"/>
    <w:rsid w:val="1D1325EF"/>
    <w:rsid w:val="1EBB7020"/>
    <w:rsid w:val="1ED560D9"/>
    <w:rsid w:val="1EF45219"/>
    <w:rsid w:val="1F4F4232"/>
    <w:rsid w:val="203E7B55"/>
    <w:rsid w:val="21F52495"/>
    <w:rsid w:val="22E449E3"/>
    <w:rsid w:val="27D72D69"/>
    <w:rsid w:val="2A8D6DCE"/>
    <w:rsid w:val="2B9E7DB6"/>
    <w:rsid w:val="2DB33930"/>
    <w:rsid w:val="2E205138"/>
    <w:rsid w:val="304E45F7"/>
    <w:rsid w:val="30E51C97"/>
    <w:rsid w:val="32627C94"/>
    <w:rsid w:val="32D73456"/>
    <w:rsid w:val="360B276F"/>
    <w:rsid w:val="362A0508"/>
    <w:rsid w:val="388935A0"/>
    <w:rsid w:val="3E3C34CE"/>
    <w:rsid w:val="3E617307"/>
    <w:rsid w:val="40362C7F"/>
    <w:rsid w:val="412B5EC1"/>
    <w:rsid w:val="41835F43"/>
    <w:rsid w:val="433A3D54"/>
    <w:rsid w:val="47411689"/>
    <w:rsid w:val="49845D29"/>
    <w:rsid w:val="4F16168C"/>
    <w:rsid w:val="4F262F2C"/>
    <w:rsid w:val="50890906"/>
    <w:rsid w:val="518B32A7"/>
    <w:rsid w:val="51C238CE"/>
    <w:rsid w:val="535513D1"/>
    <w:rsid w:val="55DD7736"/>
    <w:rsid w:val="564A0F47"/>
    <w:rsid w:val="575F56FC"/>
    <w:rsid w:val="57901975"/>
    <w:rsid w:val="57AA726D"/>
    <w:rsid w:val="5BD668B8"/>
    <w:rsid w:val="5C9F6BCD"/>
    <w:rsid w:val="5DC9790E"/>
    <w:rsid w:val="5F737BF4"/>
    <w:rsid w:val="61BD3C45"/>
    <w:rsid w:val="63514A76"/>
    <w:rsid w:val="63AD6150"/>
    <w:rsid w:val="656D3290"/>
    <w:rsid w:val="66621F20"/>
    <w:rsid w:val="66A650D9"/>
    <w:rsid w:val="66BE2423"/>
    <w:rsid w:val="6ACE0CCE"/>
    <w:rsid w:val="6B1005FD"/>
    <w:rsid w:val="6B460397"/>
    <w:rsid w:val="6BF7276F"/>
    <w:rsid w:val="6C1A6A82"/>
    <w:rsid w:val="6C9E7853"/>
    <w:rsid w:val="6F3B6D06"/>
    <w:rsid w:val="717E112C"/>
    <w:rsid w:val="72F9761F"/>
    <w:rsid w:val="737210EC"/>
    <w:rsid w:val="73EF6C92"/>
    <w:rsid w:val="77126648"/>
    <w:rsid w:val="78E650A7"/>
    <w:rsid w:val="795B21FC"/>
    <w:rsid w:val="7A4856FE"/>
    <w:rsid w:val="7A5E38C2"/>
    <w:rsid w:val="7C064A70"/>
    <w:rsid w:val="7C8A6AA1"/>
    <w:rsid w:val="7CEA51C3"/>
    <w:rsid w:val="7D146DB4"/>
    <w:rsid w:val="7E804AB8"/>
    <w:rsid w:val="7ED4CFC8"/>
    <w:rsid w:val="7F0F5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4">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5">
    <w:name w:val="Normal Indent"/>
    <w:basedOn w:val="1"/>
    <w:qFormat/>
    <w:uiPriority w:val="99"/>
    <w:pPr>
      <w:ind w:firstLine="420" w:firstLineChars="200"/>
    </w:pPr>
  </w:style>
  <w:style w:type="paragraph" w:styleId="6">
    <w:name w:val="footer"/>
    <w:basedOn w:val="1"/>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basedOn w:val="10"/>
    <w:link w:val="4"/>
    <w:semiHidden/>
    <w:qFormat/>
    <w:locked/>
    <w:uiPriority w:val="99"/>
    <w:rPr>
      <w:rFonts w:ascii="Cambria" w:hAnsi="Cambria" w:eastAsia="宋体" w:cs="Times New Roman"/>
      <w:b/>
      <w:bCs/>
      <w:sz w:val="32"/>
      <w:szCs w:val="32"/>
    </w:rPr>
  </w:style>
  <w:style w:type="paragraph" w:customStyle="1" w:styleId="12">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3164</Words>
  <Characters>3230</Characters>
  <Lines>0</Lines>
  <Paragraphs>0</Paragraphs>
  <TotalTime>0</TotalTime>
  <ScaleCrop>false</ScaleCrop>
  <LinksUpToDate>false</LinksUpToDate>
  <CharactersWithSpaces>3231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cp:lastPrinted>2022-04-21T02:38:00Z</cp:lastPrinted>
  <dcterms:modified xsi:type="dcterms:W3CDTF">2023-10-16T02:26:48Z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9F05F930B6214EC3A58E79DD0F959A15_13</vt:lpwstr>
  </property>
</Properties>
</file>