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color w:val="auto"/>
          <w:sz w:val="44"/>
          <w:szCs w:val="44"/>
        </w:rPr>
      </w:pPr>
      <w:r>
        <w:rPr>
          <w:rFonts w:hint="eastAsia" w:ascii="方正小标宋_GBK" w:hAnsi="方正小标宋_GBK" w:eastAsia="方正小标宋_GBK" w:cs="方正小标宋_GBK"/>
          <w:color w:val="auto"/>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一、项目概况</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sz w:val="32"/>
          <w:szCs w:val="32"/>
          <w:lang w:val="en-US" w:eastAsia="zh-CN"/>
        </w:rPr>
        <w:t>2023年光明区首届“光明杯”足球比赛</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eastAsia="zh-CN"/>
        </w:rPr>
        <w:t>线下足球比赛</w:t>
      </w:r>
    </w:p>
    <w:p>
      <w:pPr>
        <w:widowControl/>
        <w:ind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万</w:t>
      </w:r>
      <w:r>
        <w:rPr>
          <w:rFonts w:hint="eastAsia" w:ascii="仿宋_GB2312" w:hAnsi="仿宋_GB2312" w:eastAsia="仿宋_GB2312" w:cs="仿宋_GB2312"/>
          <w:color w:val="auto"/>
          <w:kern w:val="0"/>
          <w:sz w:val="32"/>
          <w:szCs w:val="32"/>
          <w:lang w:eastAsia="zh-CN"/>
        </w:rPr>
        <w:t>元</w:t>
      </w:r>
      <w:r>
        <w:rPr>
          <w:rFonts w:hint="eastAsia" w:ascii="仿宋_GB2312" w:hAnsi="仿宋_GB2312" w:eastAsia="仿宋_GB2312" w:cs="仿宋_GB2312"/>
          <w:color w:val="auto"/>
          <w:kern w:val="0"/>
          <w:sz w:val="32"/>
          <w:szCs w:val="32"/>
        </w:rPr>
        <w:t>人民币（高于此价格无效）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简介</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highlight w:val="none"/>
        </w:rPr>
        <w:t>为全面贯彻落实国务院颁布的《全民健身条例》，丰富光明区体育赛事活动，积极引导群众参与体育锻炼，提倡科学健身，营造全民健身氛围,</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举办2023年光明区首届“光明杯”</w:t>
      </w:r>
      <w:r>
        <w:rPr>
          <w:rFonts w:hint="eastAsia" w:ascii="仿宋_GB2312" w:hAnsi="仿宋_GB2312" w:eastAsia="仿宋_GB2312" w:cs="仿宋_GB2312"/>
          <w:color w:val="auto"/>
          <w:sz w:val="32"/>
          <w:szCs w:val="32"/>
          <w:highlight w:val="none"/>
          <w:lang w:eastAsia="zh-CN"/>
        </w:rPr>
        <w:t>足球</w:t>
      </w:r>
      <w:r>
        <w:rPr>
          <w:rFonts w:hint="eastAsia" w:ascii="仿宋_GB2312" w:hAnsi="仿宋_GB2312" w:eastAsia="仿宋_GB2312" w:cs="仿宋_GB2312"/>
          <w:color w:val="auto"/>
          <w:sz w:val="32"/>
          <w:szCs w:val="32"/>
          <w:highlight w:val="none"/>
        </w:rPr>
        <w:t>比赛。</w:t>
      </w:r>
      <w:r>
        <w:rPr>
          <w:rFonts w:hint="eastAsia" w:ascii="仿宋_GB2312" w:hAnsi="仿宋_GB2312" w:eastAsia="仿宋_GB2312" w:cs="仿宋_GB2312"/>
          <w:color w:val="auto"/>
          <w:sz w:val="32"/>
          <w:szCs w:val="32"/>
          <w:highlight w:val="none"/>
          <w:lang w:eastAsia="zh-CN"/>
        </w:rPr>
        <w:t>赛事计划在</w:t>
      </w:r>
      <w:r>
        <w:rPr>
          <w:rFonts w:hint="eastAsia" w:ascii="仿宋_GB2312" w:hAnsi="仿宋_GB2312" w:eastAsia="仿宋_GB2312" w:cs="仿宋_GB2312"/>
          <w:color w:val="auto"/>
          <w:sz w:val="32"/>
          <w:szCs w:val="32"/>
          <w:highlight w:val="none"/>
          <w:lang w:val="en-US" w:eastAsia="zh-CN"/>
        </w:rPr>
        <w:t>7-9月完成，分为甲乙级</w:t>
      </w:r>
      <w:r>
        <w:rPr>
          <w:rFonts w:hint="eastAsia" w:ascii="仿宋_GB2312" w:hAnsi="仿宋_GB2312" w:eastAsia="仿宋_GB2312" w:cs="仿宋_GB2312"/>
          <w:sz w:val="32"/>
          <w:szCs w:val="32"/>
          <w:lang w:val="en-US" w:eastAsia="zh-CN"/>
        </w:rPr>
        <w:t>（成年男子8人制足球比赛）</w:t>
      </w:r>
      <w:r>
        <w:rPr>
          <w:rFonts w:hint="eastAsia" w:ascii="仿宋_GB2312" w:hAnsi="仿宋_GB2312" w:eastAsia="仿宋_GB2312" w:cs="仿宋_GB2312"/>
          <w:color w:val="auto"/>
          <w:sz w:val="32"/>
          <w:szCs w:val="32"/>
          <w:highlight w:val="none"/>
          <w:lang w:val="en-US" w:eastAsia="zh-CN"/>
        </w:rPr>
        <w:t>两个组别，共计24支队伍竞赛。</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项目管理和服务要求</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45"/>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pStyle w:val="3"/>
              <w:rPr>
                <w:rFonts w:hint="eastAsia" w:eastAsia="宋体"/>
                <w:lang w:val="en-US" w:eastAsia="zh-CN"/>
              </w:rPr>
            </w:pPr>
            <w:r>
              <w:rPr>
                <w:rFonts w:hint="eastAsia" w:ascii="仿宋_GB2312" w:hAnsi="仿宋_GB2312" w:eastAsia="仿宋_GB2312" w:cs="仿宋_GB2312"/>
                <w:b w:val="0"/>
                <w:bCs/>
                <w:kern w:val="0"/>
                <w:sz w:val="32"/>
                <w:szCs w:val="32"/>
                <w:lang w:eastAsia="zh-CN"/>
              </w:rPr>
              <w:t>序号</w:t>
            </w:r>
          </w:p>
        </w:tc>
        <w:tc>
          <w:tcPr>
            <w:tcW w:w="1545"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项目名称</w:t>
            </w:r>
          </w:p>
        </w:tc>
        <w:tc>
          <w:tcPr>
            <w:tcW w:w="6544"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广告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物料</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1、提供1个赛事主背景、不低于1个副背景（成绩公告栏、拍照墙等）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2、赛事现场提供横幅、A字板、彩旗、手举牌、指示牌等物料进行场地布置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3、提供赛事所需比赛用球、帐篷、桌椅、音响等器材物料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4、秩序册40本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服务</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1、为赛事提供裁判服务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2、为赛事提供现场安保和医疗服务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3、做好赛事现场执行工作服务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4、做好赛事开闭幕式服务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后勤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保障</w:t>
            </w:r>
          </w:p>
        </w:tc>
        <w:tc>
          <w:tcPr>
            <w:tcW w:w="6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1、保障现场所需饮用水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lang w:val="en-US" w:eastAsia="zh-CN"/>
              </w:rPr>
              <w:t>2、为现场工作人员</w:t>
            </w:r>
            <w:r>
              <w:rPr>
                <w:rFonts w:hint="eastAsia" w:ascii="仿宋_GB2312" w:hAnsi="仿宋_GB2312" w:eastAsia="仿宋_GB2312" w:cs="仿宋_GB2312"/>
                <w:color w:val="auto"/>
                <w:kern w:val="0"/>
                <w:sz w:val="32"/>
                <w:szCs w:val="32"/>
                <w:highlight w:val="none"/>
                <w:lang w:val="en-US" w:eastAsia="zh-CN"/>
              </w:rPr>
              <w:t>提供餐费补贴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154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宣传</w:t>
            </w:r>
          </w:p>
          <w:p>
            <w:pPr>
              <w:widowControl/>
              <w:jc w:val="center"/>
              <w:rPr>
                <w:rFonts w:hint="eastAsia"/>
                <w:lang w:val="en-US" w:eastAsia="zh-CN"/>
              </w:rPr>
            </w:pPr>
            <w:r>
              <w:rPr>
                <w:rFonts w:hint="eastAsia" w:ascii="仿宋_GB2312" w:hAnsi="仿宋_GB2312" w:eastAsia="仿宋_GB2312" w:cs="仿宋_GB2312"/>
                <w:color w:val="000000"/>
                <w:kern w:val="0"/>
                <w:sz w:val="32"/>
                <w:szCs w:val="32"/>
                <w:lang w:eastAsia="zh-CN"/>
              </w:rPr>
              <w:t>推广</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1、提供赛事摄像服务；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2、提供赛事摄影服务</w:t>
            </w:r>
            <w:r>
              <w:rPr>
                <w:rFonts w:hint="default" w:ascii="仿宋_GB2312" w:hAnsi="仿宋_GB2312" w:eastAsia="仿宋_GB2312" w:cs="仿宋_GB2312"/>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3、提供淘汰赛阶段网络直播服务；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保险</w:t>
            </w:r>
          </w:p>
        </w:tc>
        <w:tc>
          <w:tcPr>
            <w:tcW w:w="65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为赛事购买专业赛事保险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rPr>
              <w:t>总保费不超过2000元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奖金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奖品</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1、总奖金不超过3万元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2、总奖杯不超过25个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3、小奖牌及其它牌匾不超过130块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要求</w:t>
            </w:r>
          </w:p>
        </w:tc>
        <w:tc>
          <w:tcPr>
            <w:tcW w:w="6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1、属于租赁的项目需清楚描述为租赁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宋体" w:eastAsia="仿宋_GB2312"/>
                <w:b w:val="0"/>
                <w:bCs w:val="0"/>
                <w:color w:val="auto"/>
                <w:kern w:val="0"/>
                <w:sz w:val="32"/>
                <w:szCs w:val="32"/>
                <w:lang w:val="en-US" w:eastAsia="zh-CN"/>
              </w:rPr>
              <w:t>2、做好赛事物资</w:t>
            </w:r>
            <w:r>
              <w:rPr>
                <w:rFonts w:hint="eastAsia" w:ascii="仿宋_GB2312" w:hAnsi="仿宋_GB2312" w:eastAsia="仿宋_GB2312" w:cs="仿宋_GB2312"/>
                <w:color w:val="000000"/>
                <w:kern w:val="0"/>
                <w:sz w:val="32"/>
                <w:szCs w:val="32"/>
                <w:lang w:val="en-US" w:eastAsia="zh-CN"/>
              </w:rPr>
              <w:t>运输工作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b w:val="0"/>
                <w:bCs w:val="0"/>
                <w:color w:val="auto"/>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宋体" w:eastAsia="仿宋_GB2312"/>
                <w:b w:val="0"/>
                <w:bCs w:val="0"/>
                <w:color w:val="auto"/>
                <w:kern w:val="0"/>
                <w:sz w:val="32"/>
                <w:szCs w:val="32"/>
                <w:lang w:eastAsia="zh-CN"/>
              </w:rPr>
              <w:t>活动</w:t>
            </w:r>
            <w:r>
              <w:rPr>
                <w:rFonts w:hint="eastAsia" w:ascii="仿宋_GB2312" w:hAnsi="宋体" w:eastAsia="仿宋_GB2312"/>
                <w:b w:val="0"/>
                <w:bCs w:val="0"/>
                <w:color w:val="auto"/>
                <w:kern w:val="0"/>
                <w:sz w:val="32"/>
                <w:szCs w:val="32"/>
              </w:rPr>
              <w:t>背景</w:t>
            </w:r>
            <w:r>
              <w:rPr>
                <w:rFonts w:hint="eastAsia" w:ascii="仿宋_GB2312" w:hAnsi="宋体" w:eastAsia="仿宋_GB2312"/>
                <w:b w:val="0"/>
                <w:bCs w:val="0"/>
                <w:color w:val="auto"/>
                <w:kern w:val="0"/>
                <w:sz w:val="32"/>
                <w:szCs w:val="32"/>
                <w:lang w:eastAsia="zh-CN"/>
              </w:rPr>
              <w:t>、物料</w:t>
            </w:r>
            <w:r>
              <w:rPr>
                <w:rFonts w:hint="eastAsia" w:ascii="仿宋_GB2312" w:hAnsi="宋体" w:eastAsia="仿宋_GB2312"/>
                <w:b w:val="0"/>
                <w:bCs w:val="0"/>
                <w:color w:val="auto"/>
                <w:kern w:val="0"/>
                <w:sz w:val="32"/>
                <w:szCs w:val="32"/>
              </w:rPr>
              <w:t>设计</w:t>
            </w:r>
            <w:r>
              <w:rPr>
                <w:rFonts w:hint="eastAsia" w:ascii="仿宋_GB2312" w:hAnsi="宋体" w:eastAsia="仿宋_GB2312"/>
                <w:b w:val="0"/>
                <w:bCs w:val="0"/>
                <w:color w:val="auto"/>
                <w:kern w:val="0"/>
                <w:sz w:val="32"/>
                <w:szCs w:val="32"/>
                <w:lang w:eastAsia="zh-CN"/>
              </w:rPr>
              <w:t>稿不少于</w:t>
            </w:r>
            <w:r>
              <w:rPr>
                <w:rFonts w:hint="eastAsia" w:ascii="仿宋_GB2312" w:hAnsi="宋体" w:eastAsia="仿宋_GB2312"/>
                <w:b w:val="0"/>
                <w:bCs w:val="0"/>
                <w:color w:val="auto"/>
                <w:kern w:val="0"/>
                <w:sz w:val="32"/>
                <w:szCs w:val="32"/>
                <w:lang w:val="en-US" w:eastAsia="zh-CN"/>
              </w:rPr>
              <w:t>2版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b w:val="0"/>
                <w:bCs w:val="0"/>
                <w:color w:val="auto"/>
                <w:kern w:val="0"/>
                <w:sz w:val="32"/>
                <w:szCs w:val="32"/>
                <w:lang w:val="en-US" w:eastAsia="zh-CN"/>
              </w:rPr>
            </w:pPr>
            <w:r>
              <w:rPr>
                <w:rFonts w:hint="eastAsia" w:ascii="仿宋_GB2312" w:hAnsi="宋体" w:eastAsia="仿宋_GB2312"/>
                <w:b w:val="0"/>
                <w:bCs w:val="0"/>
                <w:color w:val="auto"/>
                <w:kern w:val="0"/>
                <w:sz w:val="32"/>
                <w:szCs w:val="32"/>
                <w:lang w:val="en-US" w:eastAsia="zh-CN"/>
              </w:rPr>
              <w:t>4、其它未尽要求可按实际执行需求报价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5、提供项目的详细策划方案、质量保障措施、安全应急预案；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lang w:val="en-US" w:eastAsia="zh-CN"/>
              </w:rPr>
              <w:t>6、每场比赛结束后一周内提交单场比赛总结报告，整个项目结束后一周内提交项目比赛总结报告，半个月内将比赛有关资料整理移交给采购单位（电子版和纸质版资料），并制作资料汇编（编制打印成册）。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费用预算</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不超过15万元（含税）</w:t>
            </w:r>
          </w:p>
        </w:tc>
      </w:tr>
    </w:tbl>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三、响应文件要求</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（一）文件基本要求</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供应商应准备“</w:t>
      </w:r>
      <w:r>
        <w:rPr>
          <w:rFonts w:hint="eastAsia" w:ascii="仿宋_GB2312" w:hAnsi="宋体" w:eastAsia="仿宋_GB2312"/>
          <w:color w:val="auto"/>
          <w:kern w:val="0"/>
          <w:sz w:val="32"/>
          <w:szCs w:val="32"/>
          <w:lang w:eastAsia="zh-CN"/>
        </w:rPr>
        <w:t>投标文件</w:t>
      </w:r>
      <w:r>
        <w:rPr>
          <w:rFonts w:hint="eastAsia" w:ascii="仿宋_GB2312" w:hAnsi="宋体" w:eastAsia="仿宋_GB2312"/>
          <w:color w:val="auto"/>
          <w:kern w:val="0"/>
          <w:sz w:val="32"/>
          <w:szCs w:val="32"/>
        </w:rPr>
        <w:t>”一式</w:t>
      </w:r>
      <w:r>
        <w:rPr>
          <w:rFonts w:hint="eastAsia" w:ascii="仿宋_GB2312" w:hAnsi="宋体" w:eastAsia="仿宋_GB2312"/>
          <w:color w:val="auto"/>
          <w:kern w:val="0"/>
          <w:sz w:val="32"/>
          <w:szCs w:val="32"/>
          <w:lang w:eastAsia="zh-CN"/>
        </w:rPr>
        <w:t>五</w:t>
      </w:r>
      <w:r>
        <w:rPr>
          <w:rFonts w:hint="eastAsia" w:ascii="仿宋_GB2312" w:hAnsi="宋体" w:eastAsia="仿宋_GB2312"/>
          <w:color w:val="auto"/>
          <w:kern w:val="0"/>
          <w:sz w:val="32"/>
          <w:szCs w:val="32"/>
        </w:rPr>
        <w:t>份（一正</w:t>
      </w:r>
      <w:r>
        <w:rPr>
          <w:rFonts w:hint="eastAsia" w:ascii="仿宋_GB2312" w:hAnsi="宋体" w:eastAsia="仿宋_GB2312"/>
          <w:color w:val="auto"/>
          <w:kern w:val="0"/>
          <w:sz w:val="32"/>
          <w:szCs w:val="32"/>
          <w:lang w:eastAsia="zh-CN"/>
        </w:rPr>
        <w:t>四</w:t>
      </w:r>
      <w:r>
        <w:rPr>
          <w:rFonts w:hint="eastAsia" w:ascii="仿宋_GB2312" w:hAnsi="宋体" w:eastAsia="仿宋_GB2312"/>
          <w:color w:val="auto"/>
          <w:kern w:val="0"/>
          <w:sz w:val="32"/>
          <w:szCs w:val="32"/>
        </w:rPr>
        <w:t>副）</w:t>
      </w:r>
      <w:bookmarkStart w:id="0" w:name="_GoBack"/>
      <w:bookmarkEnd w:id="0"/>
      <w:r>
        <w:rPr>
          <w:rFonts w:hint="eastAsia" w:ascii="仿宋_GB2312" w:hAnsi="宋体" w:eastAsia="仿宋_GB2312"/>
          <w:color w:val="auto"/>
          <w:kern w:val="0"/>
          <w:sz w:val="32"/>
          <w:szCs w:val="32"/>
        </w:rPr>
        <w:t>，</w:t>
      </w:r>
      <w:r>
        <w:rPr>
          <w:rFonts w:hint="eastAsia" w:ascii="仿宋_GB2312" w:hAnsi="宋体" w:eastAsia="仿宋_GB2312"/>
          <w:color w:val="auto"/>
          <w:kern w:val="0"/>
          <w:sz w:val="32"/>
          <w:szCs w:val="32"/>
          <w:lang w:eastAsia="zh-CN"/>
        </w:rPr>
        <w:t>并编制打印成册，不成册视为无效投标。</w:t>
      </w:r>
      <w:r>
        <w:rPr>
          <w:rFonts w:hint="eastAsia" w:ascii="仿宋_GB2312" w:hAnsi="宋体" w:eastAsia="仿宋_GB2312"/>
          <w:color w:val="auto"/>
          <w:kern w:val="0"/>
          <w:sz w:val="32"/>
          <w:szCs w:val="32"/>
        </w:rPr>
        <w:t>装在信封内密封，封口处需加盖单位公章，并在信封封面注明：</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1.响应项目；</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2.供应商名称；</w:t>
      </w:r>
    </w:p>
    <w:p>
      <w:pPr>
        <w:pStyle w:val="5"/>
        <w:ind w:firstLine="64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3.联系人姓名、电话。</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（二）文件构成要求</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商务部分，主要包括但不限于以下内容：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）标书目录</w:t>
      </w:r>
      <w:r>
        <w:rPr>
          <w:rFonts w:hint="eastAsia" w:ascii="仿宋_GB2312" w:hAnsi="宋体" w:eastAsia="仿宋_GB2312"/>
          <w:color w:val="auto"/>
          <w:kern w:val="0"/>
          <w:sz w:val="32"/>
          <w:szCs w:val="32"/>
        </w:rPr>
        <w:t>；</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商事主体登记及备案信息查询记录，并加盖供应商单位公章；</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供应商情况介绍（含资质、荣誉等）；</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4</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详细清单报价；</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供应商同类项目业绩、履约评价</w:t>
      </w:r>
      <w:r>
        <w:rPr>
          <w:rFonts w:hint="eastAsia" w:ascii="仿宋_GB2312" w:hAnsi="宋体" w:eastAsia="仿宋_GB2312"/>
          <w:color w:val="auto"/>
          <w:kern w:val="0"/>
          <w:sz w:val="32"/>
          <w:szCs w:val="32"/>
          <w:lang w:eastAsia="zh-CN"/>
        </w:rPr>
        <w:t>等</w:t>
      </w:r>
      <w:r>
        <w:rPr>
          <w:rFonts w:hint="eastAsia" w:ascii="仿宋_GB2312" w:hAnsi="宋体" w:eastAsia="仿宋_GB2312"/>
          <w:color w:val="auto"/>
          <w:kern w:val="0"/>
          <w:sz w:val="32"/>
          <w:szCs w:val="32"/>
        </w:rPr>
        <w:t>。</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技术部分，主要包括但不限于以下内容：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设想、总体方案；</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实施方案，工作分工、执行计划等；</w:t>
      </w:r>
    </w:p>
    <w:p>
      <w:pPr>
        <w:spacing w:line="560" w:lineRule="exact"/>
        <w:ind w:firstLine="640" w:firstLineChars="200"/>
        <w:rPr>
          <w:rFonts w:hint="eastAsia"/>
          <w:color w:val="auto"/>
          <w:lang w:eastAsia="zh-CN"/>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宣传、安保、医疗</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应急等各项</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有关保障方案或材料。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jc w:val="left"/>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（二）具有良好的商业信誉，投标方参加政府采购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前三年内，无行贿犯罪记录及在经营</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中没有重大违法记录；参与本项目政府采购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时不存在被有关部门禁止参与政府采购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且在有效期内的情况；参与本项目政府采购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时不存在被有关部门列入失信被执行人、重大税收违法案件当事人名单的情况；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投标方具备履行合同所必需的设备和专业技术能力的证明材料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）资质要求：企业</w:t>
      </w:r>
      <w:r>
        <w:rPr>
          <w:rFonts w:hint="eastAsia" w:ascii="仿宋_GB2312" w:hAnsi="仿宋_GB2312" w:eastAsia="仿宋_GB2312" w:cs="仿宋_GB2312"/>
          <w:color w:val="auto"/>
          <w:sz w:val="32"/>
          <w:szCs w:val="32"/>
        </w:rPr>
        <w:t>经营范围包含“</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赛事</w:t>
      </w:r>
      <w:r>
        <w:rPr>
          <w:rFonts w:hint="eastAsia" w:ascii="仿宋_GB2312" w:hAnsi="仿宋_GB2312" w:eastAsia="仿宋_GB2312" w:cs="仿宋_GB2312"/>
          <w:color w:val="auto"/>
          <w:sz w:val="32"/>
          <w:szCs w:val="32"/>
          <w:lang w:eastAsia="zh-CN"/>
        </w:rPr>
        <w:t>活动策划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“体育</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策划”</w:t>
      </w:r>
      <w:r>
        <w:rPr>
          <w:rFonts w:hint="eastAsia" w:ascii="仿宋_GB2312" w:hAnsi="仿宋_GB2312" w:eastAsia="仿宋_GB2312" w:cs="仿宋_GB2312"/>
          <w:color w:val="auto"/>
          <w:sz w:val="32"/>
          <w:szCs w:val="32"/>
          <w:lang w:eastAsia="zh-CN"/>
        </w:rPr>
        <w:t>、“组织体育赛事活动”等相关内容，</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可接受政府部门委托的</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社会组织</w:t>
      </w:r>
      <w:r>
        <w:rPr>
          <w:rFonts w:hint="eastAsia" w:ascii="仿宋_GB2312" w:hAnsi="仿宋_GB2312" w:eastAsia="仿宋_GB2312" w:cs="仿宋_GB2312"/>
          <w:color w:val="auto"/>
          <w:sz w:val="32"/>
          <w:szCs w:val="32"/>
          <w:lang w:eastAsia="zh-CN"/>
        </w:rPr>
        <w:t>、团体、协会或俱乐部。</w:t>
      </w:r>
      <w:r>
        <w:rPr>
          <w:rFonts w:hint="eastAsia" w:ascii="仿宋_GB2312" w:hAnsi="仿宋_GB2312" w:eastAsia="仿宋_GB2312" w:cs="仿宋_GB2312"/>
          <w:color w:val="auto"/>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）服务案例：</w:t>
      </w:r>
      <w:r>
        <w:rPr>
          <w:rFonts w:hint="eastAsia" w:ascii="仿宋_GB2312" w:hAnsi="仿宋_GB2312" w:eastAsia="仿宋_GB2312" w:cs="仿宋_GB2312"/>
          <w:color w:val="auto"/>
          <w:kern w:val="0"/>
          <w:sz w:val="32"/>
          <w:szCs w:val="32"/>
        </w:rPr>
        <w:t>具备丰富的体育</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kern w:val="0"/>
          <w:sz w:val="32"/>
          <w:szCs w:val="32"/>
          <w:lang w:eastAsia="zh-CN"/>
        </w:rPr>
        <w:t>比赛策划</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经验（提供公司简介、服务团队简介及相关资质证明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服务案例需附服务协议或委托服务书复印或扫描件</w:t>
      </w:r>
      <w:r>
        <w:rPr>
          <w:rFonts w:hint="eastAsia" w:ascii="仿宋_GB2312" w:hAnsi="仿宋_GB2312" w:eastAsia="仿宋_GB2312" w:cs="仿宋_GB2312"/>
          <w:color w:val="auto"/>
          <w:kern w:val="0"/>
          <w:sz w:val="32"/>
          <w:szCs w:val="32"/>
          <w:lang w:eastAsia="zh-CN"/>
        </w:rPr>
        <w:t>，或项目中标通知书、履约评价等</w:t>
      </w:r>
      <w:r>
        <w:rPr>
          <w:rFonts w:hint="eastAsia" w:ascii="仿宋_GB2312" w:hAnsi="仿宋_GB2312" w:eastAsia="仿宋_GB2312" w:cs="仿宋_GB2312"/>
          <w:color w:val="auto"/>
          <w:kern w:val="0"/>
          <w:sz w:val="32"/>
          <w:szCs w:val="32"/>
        </w:rPr>
        <w:t>，重要信息可加码处理）；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 w:eastAsia="仿宋_GB2312" w:cs="仿宋"/>
          <w:color w:val="auto"/>
          <w:sz w:val="32"/>
          <w:szCs w:val="32"/>
          <w:lang w:eastAsia="zh-CN"/>
        </w:rPr>
        <w:t>以合同签订日期为准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（具体地点待定）</w:t>
      </w:r>
      <w:r>
        <w:rPr>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报价要求</w:t>
      </w:r>
      <w:r>
        <w:rPr>
          <w:rFonts w:hint="eastAsia" w:ascii="楷体" w:hAnsi="楷体" w:eastAsia="楷体" w:cs="楷体"/>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投标供应商的报价不得超过项目预算金额。</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 w:eastAsia="仿宋_GB2312" w:cs="仿宋"/>
          <w:color w:val="auto"/>
          <w:sz w:val="32"/>
          <w:szCs w:val="32"/>
          <w:lang w:eastAsia="zh-CN"/>
        </w:rPr>
        <w:t>根据合同约定</w:t>
      </w:r>
    </w:p>
    <w:p>
      <w:pPr>
        <w:spacing w:line="560" w:lineRule="exact"/>
        <w:ind w:firstLine="640" w:firstLineChars="200"/>
        <w:rPr>
          <w:rFonts w:ascii="仿宋_GB2312" w:hAnsi="仿宋" w:eastAsia="仿宋_GB2312" w:cs="仿宋"/>
          <w:color w:val="auto"/>
          <w:sz w:val="32"/>
          <w:szCs w:val="32"/>
        </w:rPr>
      </w:pPr>
      <w:r>
        <w:rPr>
          <w:rFonts w:hint="eastAsia" w:ascii="楷体" w:hAnsi="楷体" w:eastAsia="楷体" w:cs="楷体"/>
          <w:color w:val="auto"/>
          <w:kern w:val="0"/>
          <w:sz w:val="32"/>
          <w:szCs w:val="32"/>
        </w:rPr>
        <w:t>（五）</w:t>
      </w:r>
      <w:r>
        <w:rPr>
          <w:rFonts w:hint="eastAsia" w:ascii="楷体" w:hAnsi="楷体" w:eastAsia="楷体" w:cs="楷体"/>
          <w:color w:val="auto"/>
          <w:kern w:val="0"/>
          <w:sz w:val="32"/>
          <w:szCs w:val="32"/>
          <w:lang w:eastAsia="zh-CN"/>
        </w:rPr>
        <w:t>违约责任</w:t>
      </w:r>
      <w:r>
        <w:rPr>
          <w:rFonts w:hint="eastAsia" w:ascii="楷体" w:hAnsi="楷体" w:eastAsia="楷体" w:cs="楷体"/>
          <w:color w:val="auto"/>
          <w:kern w:val="0"/>
          <w:sz w:val="32"/>
          <w:szCs w:val="32"/>
        </w:rPr>
        <w:t>：</w:t>
      </w:r>
      <w:r>
        <w:rPr>
          <w:rFonts w:hint="eastAsia" w:ascii="仿宋_GB2312" w:hAnsi="仿宋" w:eastAsia="仿宋_GB2312" w:cs="仿宋"/>
          <w:color w:val="auto"/>
          <w:sz w:val="32"/>
          <w:szCs w:val="32"/>
        </w:rPr>
        <w:t>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color w:val="auto"/>
          <w:sz w:val="32"/>
          <w:szCs w:val="32"/>
        </w:rPr>
      </w:pPr>
      <w:r>
        <w:rPr>
          <w:rFonts w:hint="eastAsia" w:ascii="楷体" w:hAnsi="楷体" w:eastAsia="楷体" w:cs="楷体"/>
          <w:color w:val="auto"/>
          <w:sz w:val="32"/>
          <w:szCs w:val="32"/>
        </w:rPr>
        <w:t>（六）警示条款</w:t>
      </w:r>
      <w:r>
        <w:rPr>
          <w:rFonts w:hint="eastAsia" w:ascii="仿宋_GB2312" w:hAnsi="仿宋" w:eastAsia="仿宋_GB2312" w:cs="仿宋"/>
          <w:color w:val="auto"/>
          <w:sz w:val="32"/>
          <w:szCs w:val="32"/>
        </w:rPr>
        <w:t>：光明区公共文化艺术</w:t>
      </w:r>
      <w:r>
        <w:rPr>
          <w:rFonts w:hint="eastAsia" w:ascii="仿宋_GB2312" w:hAnsi="仿宋" w:eastAsia="仿宋_GB2312" w:cs="仿宋"/>
          <w:color w:val="auto"/>
          <w:sz w:val="32"/>
          <w:szCs w:val="32"/>
          <w:lang w:eastAsia="zh-CN"/>
        </w:rPr>
        <w:t>和体育</w:t>
      </w:r>
      <w:r>
        <w:rPr>
          <w:rFonts w:hint="eastAsia" w:ascii="仿宋_GB2312" w:hAnsi="仿宋" w:eastAsia="仿宋_GB2312" w:cs="仿宋"/>
          <w:color w:val="auto"/>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w:t>
      </w:r>
      <w:r>
        <w:rPr>
          <w:rFonts w:hint="eastAsia" w:ascii="仿宋_GB2312" w:hAnsi="仿宋" w:eastAsia="仿宋_GB2312" w:cs="仿宋"/>
          <w:color w:val="auto"/>
          <w:sz w:val="32"/>
          <w:szCs w:val="32"/>
          <w:lang w:eastAsia="zh-CN"/>
        </w:rPr>
        <w:t>比赛</w:t>
      </w:r>
      <w:r>
        <w:rPr>
          <w:rFonts w:hint="eastAsia" w:ascii="仿宋_GB2312" w:hAnsi="仿宋" w:eastAsia="仿宋_GB2312" w:cs="仿宋"/>
          <w:color w:val="auto"/>
          <w:sz w:val="32"/>
          <w:szCs w:val="32"/>
        </w:rPr>
        <w:t>的风险。</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楷体" w:hAnsi="楷体" w:eastAsia="楷体" w:cs="楷体"/>
          <w:color w:val="auto"/>
          <w:sz w:val="32"/>
          <w:szCs w:val="32"/>
          <w:lang w:val="en-US" w:eastAsia="zh-CN"/>
        </w:rPr>
        <w:t>（七）陪标责任：</w:t>
      </w:r>
      <w:r>
        <w:rPr>
          <w:rFonts w:hint="eastAsia" w:ascii="仿宋_GB2312" w:hAnsi="仿宋" w:eastAsia="仿宋_GB2312" w:cs="仿宋"/>
          <w:color w:val="auto"/>
          <w:sz w:val="32"/>
          <w:szCs w:val="32"/>
          <w:lang w:val="en-US" w:eastAsia="zh-CN"/>
        </w:rPr>
        <w:t>此项目不接受关联供应商同时投标，经查发现存在陪标现象，取消本次所有参标资格，并按相关规定进行上报和追责。</w:t>
      </w:r>
    </w:p>
    <w:p>
      <w:pPr>
        <w:keepNext w:val="0"/>
        <w:keepLines w:val="0"/>
        <w:pageBreakBefore w:val="0"/>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CB99D"/>
    <w:multiLevelType w:val="singleLevel"/>
    <w:tmpl w:val="D82CB99D"/>
    <w:lvl w:ilvl="0" w:tentative="0">
      <w:start w:val="1"/>
      <w:numFmt w:val="decimal"/>
      <w:suff w:val="nothing"/>
      <w:lvlText w:val="%1、"/>
      <w:lvlJc w:val="left"/>
    </w:lvl>
  </w:abstractNum>
  <w:abstractNum w:abstractNumId="1">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k4OTU1MDM4NGNkMGM5M2Y2YTAzNDM5MDIyYzg4NTcifQ=="/>
  </w:docVars>
  <w:rsids>
    <w:rsidRoot w:val="1ED560D9"/>
    <w:rsid w:val="0004161F"/>
    <w:rsid w:val="000F7D23"/>
    <w:rsid w:val="001115CF"/>
    <w:rsid w:val="00167A43"/>
    <w:rsid w:val="001954E9"/>
    <w:rsid w:val="00257182"/>
    <w:rsid w:val="002656F3"/>
    <w:rsid w:val="00267055"/>
    <w:rsid w:val="0026709D"/>
    <w:rsid w:val="00282C2C"/>
    <w:rsid w:val="00290288"/>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E455BA"/>
    <w:rsid w:val="03577A2F"/>
    <w:rsid w:val="07B14AD9"/>
    <w:rsid w:val="07E16E8A"/>
    <w:rsid w:val="08F7258B"/>
    <w:rsid w:val="09896468"/>
    <w:rsid w:val="0C00063F"/>
    <w:rsid w:val="0CE560AB"/>
    <w:rsid w:val="115C235F"/>
    <w:rsid w:val="165B1E85"/>
    <w:rsid w:val="18B23232"/>
    <w:rsid w:val="19B50E83"/>
    <w:rsid w:val="1D1325EF"/>
    <w:rsid w:val="1EBB7020"/>
    <w:rsid w:val="1ED560D9"/>
    <w:rsid w:val="1EF45219"/>
    <w:rsid w:val="1F4F4232"/>
    <w:rsid w:val="203E7B55"/>
    <w:rsid w:val="21F52495"/>
    <w:rsid w:val="22E449E3"/>
    <w:rsid w:val="27D72D69"/>
    <w:rsid w:val="2A8D6DCE"/>
    <w:rsid w:val="2DB33930"/>
    <w:rsid w:val="304E45F7"/>
    <w:rsid w:val="30E51C97"/>
    <w:rsid w:val="32627C94"/>
    <w:rsid w:val="32D73456"/>
    <w:rsid w:val="362A0508"/>
    <w:rsid w:val="388935A0"/>
    <w:rsid w:val="3E3C34CE"/>
    <w:rsid w:val="3E617307"/>
    <w:rsid w:val="40362C7F"/>
    <w:rsid w:val="412B5EC1"/>
    <w:rsid w:val="41835F43"/>
    <w:rsid w:val="433A3D54"/>
    <w:rsid w:val="47411689"/>
    <w:rsid w:val="49845D29"/>
    <w:rsid w:val="4F16168C"/>
    <w:rsid w:val="4F262F2C"/>
    <w:rsid w:val="50890906"/>
    <w:rsid w:val="518B32A7"/>
    <w:rsid w:val="51C238CE"/>
    <w:rsid w:val="535513D1"/>
    <w:rsid w:val="564A0F47"/>
    <w:rsid w:val="575F56FC"/>
    <w:rsid w:val="57901975"/>
    <w:rsid w:val="57AA726D"/>
    <w:rsid w:val="5BD668B8"/>
    <w:rsid w:val="5C9F6BCD"/>
    <w:rsid w:val="5DC9790E"/>
    <w:rsid w:val="5F737BF4"/>
    <w:rsid w:val="61BD3C45"/>
    <w:rsid w:val="63514A76"/>
    <w:rsid w:val="63AD6150"/>
    <w:rsid w:val="656D3290"/>
    <w:rsid w:val="66621F20"/>
    <w:rsid w:val="66A650D9"/>
    <w:rsid w:val="66BE2423"/>
    <w:rsid w:val="6ACE0CCE"/>
    <w:rsid w:val="6B1005FD"/>
    <w:rsid w:val="6B460397"/>
    <w:rsid w:val="6BF7276F"/>
    <w:rsid w:val="6C1A6A82"/>
    <w:rsid w:val="6C9E7853"/>
    <w:rsid w:val="6F3B6D06"/>
    <w:rsid w:val="717E112C"/>
    <w:rsid w:val="72F9761F"/>
    <w:rsid w:val="737210EC"/>
    <w:rsid w:val="73EF6C92"/>
    <w:rsid w:val="77126648"/>
    <w:rsid w:val="78E650A7"/>
    <w:rsid w:val="795B21FC"/>
    <w:rsid w:val="7A4856FE"/>
    <w:rsid w:val="7A5E38C2"/>
    <w:rsid w:val="7C064A70"/>
    <w:rsid w:val="7C8A6AA1"/>
    <w:rsid w:val="7CEA51C3"/>
    <w:rsid w:val="7D146DB4"/>
    <w:rsid w:val="7E804AB8"/>
    <w:rsid w:val="7ED4CFC8"/>
    <w:rsid w:val="7F0F5A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cs="Times New Roman"/>
      <w:b/>
      <w:color w:val="333333"/>
      <w:kern w:val="44"/>
      <w:sz w:val="42"/>
      <w:szCs w:val="42"/>
    </w:rPr>
  </w:style>
  <w:style w:type="paragraph" w:styleId="4">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5">
    <w:name w:val="Normal Indent"/>
    <w:basedOn w:val="1"/>
    <w:qFormat/>
    <w:uiPriority w:val="99"/>
    <w:pPr>
      <w:ind w:firstLine="420" w:firstLineChars="200"/>
    </w:pPr>
  </w:style>
  <w:style w:type="paragraph" w:styleId="6">
    <w:name w:val="footer"/>
    <w:basedOn w:val="1"/>
    <w:semiHidden/>
    <w:unhideWhenUsed/>
    <w:qFormat/>
    <w:locked/>
    <w:uiPriority w:val="99"/>
    <w:pPr>
      <w:tabs>
        <w:tab w:val="center" w:pos="4153"/>
        <w:tab w:val="right" w:pos="8306"/>
      </w:tabs>
      <w:snapToGrid w:val="0"/>
      <w:jc w:val="left"/>
    </w:pPr>
    <w:rPr>
      <w:sz w:val="18"/>
    </w:rPr>
  </w:style>
  <w:style w:type="paragraph" w:styleId="7">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2 Char"/>
    <w:basedOn w:val="10"/>
    <w:link w:val="4"/>
    <w:semiHidden/>
    <w:qFormat/>
    <w:locked/>
    <w:uiPriority w:val="99"/>
    <w:rPr>
      <w:rFonts w:ascii="Cambria" w:hAnsi="Cambria" w:eastAsia="宋体" w:cs="Times New Roman"/>
      <w:b/>
      <w:bCs/>
      <w:sz w:val="32"/>
      <w:szCs w:val="32"/>
    </w:rPr>
  </w:style>
  <w:style w:type="paragraph" w:customStyle="1" w:styleId="12">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3164</Words>
  <Characters>3230</Characters>
  <Lines>0</Lines>
  <Paragraphs>0</Paragraphs>
  <TotalTime>0</TotalTime>
  <ScaleCrop>false</ScaleCrop>
  <LinksUpToDate>false</LinksUpToDate>
  <CharactersWithSpaces>3231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ShengLong</cp:lastModifiedBy>
  <cp:lastPrinted>2022-04-21T02:38:00Z</cp:lastPrinted>
  <dcterms:modified xsi:type="dcterms:W3CDTF">2023-07-10T02:31:03Z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EBD81079886646CF83F38EE6CF479E72</vt:lpwstr>
  </property>
</Properties>
</file>