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right="-20"/>
        <w:jc w:val="center"/>
        <w:rPr>
          <w:rFonts w:hint="eastAsia"/>
          <w:lang w:eastAsia="zh-CN"/>
        </w:rPr>
      </w:pPr>
      <w:r>
        <w:rPr>
          <w:rFonts w:hint="eastAsia" w:asciiTheme="minorEastAsia" w:hAnsiTheme="minorEastAsia" w:cstheme="minorEastAsia"/>
          <w:b/>
          <w:bCs/>
          <w:sz w:val="44"/>
          <w:szCs w:val="44"/>
          <w:lang w:eastAsia="zh-CN"/>
        </w:rPr>
        <w:t>区文化馆、图书馆红花山分馆</w:t>
      </w:r>
    </w:p>
    <w:p>
      <w:pPr>
        <w:spacing w:line="440" w:lineRule="exact"/>
        <w:jc w:val="center"/>
        <w:rPr>
          <w:rFonts w:hint="eastAsia" w:ascii="宋体" w:hAnsi="宋体"/>
          <w:b/>
          <w:bCs/>
          <w:color w:val="000000"/>
          <w:sz w:val="44"/>
          <w:szCs w:val="44"/>
          <w:lang w:val="en-US" w:eastAsia="zh-CN"/>
        </w:rPr>
      </w:pPr>
      <w:r>
        <w:rPr>
          <w:rFonts w:hint="eastAsia" w:asciiTheme="minorEastAsia" w:hAnsiTheme="minorEastAsia" w:cstheme="minorEastAsia"/>
          <w:b/>
          <w:bCs/>
          <w:sz w:val="44"/>
          <w:szCs w:val="44"/>
          <w:lang w:val="en-US" w:eastAsia="zh-CN"/>
        </w:rPr>
        <w:t>幕墙检测服务项目</w:t>
      </w:r>
      <w:r>
        <w:rPr>
          <w:rFonts w:hint="eastAsia" w:ascii="宋体" w:hAnsi="宋体"/>
          <w:b/>
          <w:bCs/>
          <w:color w:val="000000"/>
          <w:sz w:val="44"/>
          <w:szCs w:val="44"/>
          <w:lang w:val="en-US" w:eastAsia="zh-CN"/>
        </w:rPr>
        <w:t>需求</w:t>
      </w:r>
      <w:bookmarkStart w:id="1" w:name="_GoBack"/>
      <w:bookmarkEnd w:id="1"/>
    </w:p>
    <w:tbl>
      <w:tblPr>
        <w:tblStyle w:val="7"/>
        <w:tblpPr w:leftFromText="180" w:rightFromText="180" w:vertAnchor="text" w:horzAnchor="page" w:tblpX="1935" w:tblpY="460"/>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1631"/>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0" w:type="pct"/>
            <w:vAlign w:val="center"/>
          </w:tcPr>
          <w:p>
            <w:pPr>
              <w:pStyle w:val="2"/>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项号</w:t>
            </w:r>
          </w:p>
        </w:tc>
        <w:tc>
          <w:tcPr>
            <w:tcW w:w="900" w:type="pct"/>
            <w:vAlign w:val="center"/>
          </w:tcPr>
          <w:p>
            <w:pPr>
              <w:pStyle w:val="2"/>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内容</w:t>
            </w:r>
          </w:p>
        </w:tc>
        <w:tc>
          <w:tcPr>
            <w:tcW w:w="3479" w:type="pct"/>
            <w:vAlign w:val="center"/>
          </w:tcPr>
          <w:p>
            <w:pPr>
              <w:pStyle w:val="2"/>
              <w:keepLines w:val="0"/>
              <w:pageBreakBefore w:val="0"/>
              <w:widowControl w:val="0"/>
              <w:kinsoku/>
              <w:wordWrap/>
              <w:overflowPunct/>
              <w:topLinePunct w:val="0"/>
              <w:autoSpaceDE/>
              <w:autoSpaceDN/>
              <w:bidi w:val="0"/>
              <w:adjustRightInd/>
              <w:snapToGrid/>
              <w:spacing w:line="300" w:lineRule="exact"/>
              <w:ind w:firstLine="420" w:firstLineChars="20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20" w:type="pct"/>
            <w:vAlign w:val="center"/>
          </w:tcPr>
          <w:p>
            <w:pPr>
              <w:tabs>
                <w:tab w:val="left" w:pos="7560"/>
              </w:tabs>
              <w:adjustRightInd w:val="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w:t>
            </w:r>
          </w:p>
        </w:tc>
        <w:tc>
          <w:tcPr>
            <w:tcW w:w="900" w:type="pct"/>
            <w:vAlign w:val="center"/>
          </w:tcPr>
          <w:p>
            <w:pPr>
              <w:tabs>
                <w:tab w:val="left" w:pos="7560"/>
              </w:tabs>
              <w:adjustRightInd w:val="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服务项目</w:t>
            </w:r>
          </w:p>
        </w:tc>
        <w:tc>
          <w:tcPr>
            <w:tcW w:w="3479" w:type="pct"/>
            <w:vAlign w:val="center"/>
          </w:tcPr>
          <w:p>
            <w:pPr>
              <w:tabs>
                <w:tab w:val="left" w:pos="7560"/>
              </w:tabs>
              <w:adjustRightInd w:val="0"/>
              <w:jc w:val="left"/>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光明区文化馆、图书馆红花山分馆既有建筑幕墙定期+专项安全检查服务项目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620" w:type="pct"/>
            <w:vAlign w:val="center"/>
          </w:tcPr>
          <w:p>
            <w:pPr>
              <w:tabs>
                <w:tab w:val="left" w:pos="7560"/>
              </w:tabs>
              <w:adjustRightInd w:val="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w:t>
            </w:r>
          </w:p>
        </w:tc>
        <w:tc>
          <w:tcPr>
            <w:tcW w:w="900" w:type="pct"/>
            <w:vAlign w:val="center"/>
          </w:tcPr>
          <w:p>
            <w:pPr>
              <w:tabs>
                <w:tab w:val="left" w:pos="7560"/>
              </w:tabs>
              <w:adjustRightInd w:val="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项目背景</w:t>
            </w:r>
          </w:p>
        </w:tc>
        <w:tc>
          <w:tcPr>
            <w:tcW w:w="3479" w:type="pct"/>
            <w:vAlign w:val="center"/>
          </w:tcPr>
          <w:p>
            <w:pPr>
              <w:tabs>
                <w:tab w:val="left" w:pos="7560"/>
              </w:tabs>
              <w:adjustRightInd w:val="0"/>
              <w:ind w:firstLine="420" w:firstLineChars="200"/>
              <w:jc w:val="both"/>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光明区文化馆、图书馆红花山分馆位于深圳市光明区公明街道振明路9号，共A、B、C、D座四栋建筑，</w:t>
            </w:r>
            <w:r>
              <w:rPr>
                <w:sz w:val="21"/>
                <w:szCs w:val="21"/>
              </w:rPr>
              <w:t>A栋（铝板幕墙+玻璃幕墙，共2900 m</w:t>
            </w:r>
            <w:r>
              <w:rPr>
                <w:rFonts w:ascii="Batang" w:hAnsi="Batang" w:eastAsia="Batang"/>
                <w:sz w:val="21"/>
                <w:szCs w:val="21"/>
              </w:rPr>
              <w:t>²</w:t>
            </w:r>
            <w:r>
              <w:rPr>
                <w:rFonts w:hint="eastAsia" w:ascii="Batang" w:hAnsi="Batang" w:eastAsia="宋体"/>
                <w:sz w:val="21"/>
                <w:szCs w:val="21"/>
                <w:lang w:eastAsia="zh-CN"/>
              </w:rPr>
              <w:t>、</w:t>
            </w:r>
            <w:r>
              <w:rPr>
                <w:sz w:val="21"/>
                <w:szCs w:val="21"/>
              </w:rPr>
              <w:t>B栋（铝板幕墙+玻璃幕墙，共3600 m</w:t>
            </w:r>
            <w:r>
              <w:rPr>
                <w:rFonts w:ascii="Batang" w:hAnsi="Batang" w:eastAsia="Batang"/>
                <w:sz w:val="21"/>
                <w:szCs w:val="21"/>
              </w:rPr>
              <w:t>²</w:t>
            </w:r>
            <w:r>
              <w:rPr>
                <w:rFonts w:hint="eastAsia" w:ascii="Batang" w:hAnsi="Batang" w:eastAsia="宋体"/>
                <w:sz w:val="21"/>
                <w:szCs w:val="21"/>
                <w:lang w:eastAsia="zh-CN"/>
              </w:rPr>
              <w:t>、</w:t>
            </w:r>
            <w:r>
              <w:rPr>
                <w:sz w:val="21"/>
                <w:szCs w:val="21"/>
              </w:rPr>
              <w:t>C栋（铝板幕墙+玻璃幕墙，共3400 m</w:t>
            </w:r>
            <w:r>
              <w:rPr>
                <w:rFonts w:ascii="Batang" w:hAnsi="Batang" w:eastAsia="Batang"/>
                <w:sz w:val="21"/>
                <w:szCs w:val="21"/>
              </w:rPr>
              <w:t>²</w:t>
            </w:r>
            <w:r>
              <w:rPr>
                <w:rFonts w:hint="eastAsia" w:ascii="Batang" w:hAnsi="Batang" w:eastAsia="宋体"/>
                <w:sz w:val="21"/>
                <w:szCs w:val="21"/>
                <w:lang w:eastAsia="zh-CN"/>
              </w:rPr>
              <w:t>、</w:t>
            </w:r>
            <w:r>
              <w:rPr>
                <w:rFonts w:hint="eastAsia" w:eastAsia="宋体"/>
                <w:sz w:val="21"/>
                <w:szCs w:val="21"/>
                <w:lang w:val="en-US" w:eastAsia="zh-CN"/>
              </w:rPr>
              <w:t>A-C连廊</w:t>
            </w:r>
            <w:r>
              <w:rPr>
                <w:sz w:val="21"/>
                <w:szCs w:val="21"/>
              </w:rPr>
              <w:t>栋检查单元（玻璃幕墙800 m</w:t>
            </w:r>
            <w:r>
              <w:rPr>
                <w:rFonts w:ascii="Batang" w:hAnsi="Batang" w:eastAsia="Batang"/>
                <w:sz w:val="21"/>
                <w:szCs w:val="21"/>
              </w:rPr>
              <w:t>²</w:t>
            </w:r>
            <w:r>
              <w:rPr>
                <w:sz w:val="21"/>
                <w:szCs w:val="21"/>
              </w:rPr>
              <w:t>+石材幕墙900 m</w:t>
            </w:r>
            <w:r>
              <w:rPr>
                <w:rFonts w:ascii="Batang" w:hAnsi="Batang" w:eastAsia="Batang"/>
                <w:sz w:val="21"/>
                <w:szCs w:val="21"/>
              </w:rPr>
              <w:t>²</w:t>
            </w:r>
            <w:r>
              <w:rPr>
                <w:rFonts w:ascii="Batang" w:hAnsi="Batang" w:eastAsiaTheme="minorEastAsia"/>
                <w:sz w:val="21"/>
                <w:szCs w:val="21"/>
              </w:rPr>
              <w:t>）</w:t>
            </w:r>
            <w:r>
              <w:rPr>
                <w:rFonts w:hint="eastAsia" w:ascii="Batang" w:hAnsi="Batang" w:eastAsiaTheme="minorEastAsia"/>
                <w:sz w:val="21"/>
                <w:szCs w:val="21"/>
                <w:lang w:eastAsia="zh-CN"/>
              </w:rPr>
              <w:t>、</w:t>
            </w:r>
            <w:r>
              <w:rPr>
                <w:sz w:val="21"/>
                <w:szCs w:val="21"/>
              </w:rPr>
              <w:t>D栋检查单元（铝板幕墙4700 m</w:t>
            </w:r>
            <w:r>
              <w:rPr>
                <w:rFonts w:ascii="Batang" w:hAnsi="Batang" w:eastAsia="Batang"/>
                <w:sz w:val="21"/>
                <w:szCs w:val="21"/>
              </w:rPr>
              <w:t>²</w:t>
            </w:r>
            <w:r>
              <w:rPr>
                <w:sz w:val="21"/>
                <w:szCs w:val="21"/>
              </w:rPr>
              <w:t>）</w:t>
            </w:r>
            <w:r>
              <w:rPr>
                <w:rFonts w:hint="eastAsia"/>
                <w:sz w:val="21"/>
                <w:szCs w:val="21"/>
                <w:lang w:eastAsia="zh-CN"/>
              </w:rPr>
              <w:t>。</w:t>
            </w:r>
          </w:p>
          <w:p>
            <w:pPr>
              <w:tabs>
                <w:tab w:val="left" w:pos="7560"/>
              </w:tabs>
              <w:adjustRightInd w:val="0"/>
              <w:ind w:firstLine="420" w:firstLineChars="200"/>
              <w:jc w:val="both"/>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幕墙面积约</w:t>
            </w:r>
            <w:r>
              <w:rPr>
                <w:rFonts w:hint="eastAsia" w:ascii="宋体" w:hAnsi="宋体" w:cs="宋体"/>
                <w:b w:val="0"/>
                <w:bCs w:val="0"/>
                <w:kern w:val="0"/>
                <w:sz w:val="21"/>
                <w:szCs w:val="21"/>
                <w:lang w:val="en-US" w:eastAsia="zh-CN" w:bidi="ar-SA"/>
              </w:rPr>
              <w:t>14600</w:t>
            </w:r>
            <w:r>
              <w:rPr>
                <w:rFonts w:hint="eastAsia" w:ascii="宋体" w:hAnsi="宋体" w:eastAsia="宋体" w:cs="宋体"/>
                <w:b w:val="0"/>
                <w:bCs w:val="0"/>
                <w:kern w:val="0"/>
                <w:sz w:val="21"/>
                <w:szCs w:val="21"/>
                <w:lang w:val="en-US" w:eastAsia="zh-CN" w:bidi="ar-SA"/>
              </w:rPr>
              <w:t>平米，高度约</w:t>
            </w:r>
            <w:r>
              <w:rPr>
                <w:rFonts w:hint="eastAsia" w:ascii="宋体" w:hAnsi="宋体" w:cs="宋体"/>
                <w:b w:val="0"/>
                <w:bCs w:val="0"/>
                <w:kern w:val="0"/>
                <w:sz w:val="21"/>
                <w:szCs w:val="21"/>
                <w:lang w:val="en-US" w:eastAsia="zh-CN" w:bidi="ar-SA"/>
              </w:rPr>
              <w:t>15-30</w:t>
            </w:r>
            <w:r>
              <w:rPr>
                <w:rFonts w:hint="eastAsia" w:ascii="宋体" w:hAnsi="宋体" w:eastAsia="宋体" w:cs="宋体"/>
                <w:b w:val="0"/>
                <w:bCs w:val="0"/>
                <w:kern w:val="0"/>
                <w:sz w:val="21"/>
                <w:szCs w:val="21"/>
                <w:lang w:val="en-US" w:eastAsia="zh-CN" w:bidi="ar-SA"/>
              </w:rPr>
              <w:t>米。幕墙结构主要为：玻璃幕墙、铝板幕墙、石材幕墙。根据《深圳市房屋安全管理办法》（深圳市人民政府令第319号）第五章“建筑幕墙安全管理”的规定，拟对该建筑物玻璃幕墙及石材幕墙进行专项安全性检查，以查明工程质量现状，发现安全隐患，提修缮整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20" w:type="pct"/>
            <w:vAlign w:val="center"/>
          </w:tcPr>
          <w:p>
            <w:pPr>
              <w:tabs>
                <w:tab w:val="left" w:pos="7560"/>
              </w:tabs>
              <w:adjustRightInd w:val="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3</w:t>
            </w:r>
          </w:p>
        </w:tc>
        <w:tc>
          <w:tcPr>
            <w:tcW w:w="900" w:type="pct"/>
            <w:vAlign w:val="center"/>
          </w:tcPr>
          <w:p>
            <w:pPr>
              <w:tabs>
                <w:tab w:val="left" w:pos="7560"/>
              </w:tabs>
              <w:adjustRightInd w:val="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工期</w:t>
            </w:r>
          </w:p>
        </w:tc>
        <w:tc>
          <w:tcPr>
            <w:tcW w:w="3479" w:type="pct"/>
            <w:vAlign w:val="center"/>
          </w:tcPr>
          <w:p>
            <w:pPr>
              <w:tabs>
                <w:tab w:val="left" w:pos="7560"/>
              </w:tabs>
              <w:adjustRightInd w:val="0"/>
              <w:ind w:firstLine="420" w:firstLineChars="20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从正式开始进场检查到出具安全检测鉴定报告30个日历天。（投标文件需明确）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0" w:type="pct"/>
            <w:vAlign w:val="center"/>
          </w:tcPr>
          <w:p>
            <w:pPr>
              <w:tabs>
                <w:tab w:val="left" w:pos="7560"/>
              </w:tabs>
              <w:adjustRightInd w:val="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4</w:t>
            </w:r>
          </w:p>
        </w:tc>
        <w:tc>
          <w:tcPr>
            <w:tcW w:w="900" w:type="pct"/>
            <w:vAlign w:val="center"/>
          </w:tcPr>
          <w:p>
            <w:pPr>
              <w:tabs>
                <w:tab w:val="left" w:pos="7560"/>
              </w:tabs>
              <w:adjustRightInd w:val="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投标人资质要求</w:t>
            </w:r>
          </w:p>
        </w:tc>
        <w:tc>
          <w:tcPr>
            <w:tcW w:w="3479" w:type="pct"/>
            <w:vAlign w:val="center"/>
          </w:tcPr>
          <w:p>
            <w:pPr>
              <w:numPr>
                <w:ilvl w:val="255"/>
                <w:numId w:val="0"/>
              </w:numPr>
              <w:tabs>
                <w:tab w:val="left" w:pos="7560"/>
              </w:tabs>
              <w:adjustRightInd w:val="0"/>
              <w:ind w:firstLine="420" w:firstLineChars="200"/>
              <w:jc w:val="left"/>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1.具有合法的企业法人营业执照，组织机构代码证，税务登记证（提供合法有效的营业执照原件扫描件，原件备查；</w:t>
            </w:r>
            <w:r>
              <w:rPr>
                <w:rFonts w:hint="eastAsia" w:ascii="宋体" w:hAnsi="宋体" w:eastAsia="宋体" w:cs="宋体"/>
                <w:kern w:val="0"/>
                <w:sz w:val="21"/>
                <w:szCs w:val="21"/>
                <w:lang w:val="en-US" w:eastAsia="zh-CN"/>
              </w:rPr>
              <w:t>需具有建筑幕墙工程检测类经营范围</w:t>
            </w:r>
            <w:r>
              <w:rPr>
                <w:rFonts w:hint="eastAsia" w:ascii="宋体" w:hAnsi="宋体" w:cs="宋体"/>
                <w:kern w:val="0"/>
                <w:sz w:val="21"/>
                <w:szCs w:val="21"/>
                <w:lang w:val="en-US" w:eastAsia="zh-CN"/>
              </w:rPr>
              <w:t>，</w:t>
            </w:r>
            <w:r>
              <w:rPr>
                <w:rFonts w:hint="eastAsia" w:ascii="宋体" w:hAnsi="宋体" w:eastAsia="宋体" w:cs="宋体"/>
                <w:b w:val="0"/>
                <w:bCs w:val="0"/>
                <w:kern w:val="0"/>
                <w:sz w:val="21"/>
                <w:szCs w:val="21"/>
                <w:lang w:val="en-US" w:eastAsia="zh-CN" w:bidi="ar-SA"/>
              </w:rPr>
              <w:t>如企业营业执照未反映经营范围，须提供深圳市市场监督管理局网站或公司所在地关于供应商经营范围查询结果的截图），鉴定机构及其从业人员须符合《深圳市房屋安全鉴定管理办法》中从事房屋安全鉴定活动所应当满足的相关要求；</w:t>
            </w:r>
          </w:p>
          <w:p>
            <w:pPr>
              <w:numPr>
                <w:ilvl w:val="255"/>
                <w:numId w:val="0"/>
              </w:numPr>
              <w:tabs>
                <w:tab w:val="left" w:pos="7560"/>
              </w:tabs>
              <w:adjustRightInd w:val="0"/>
              <w:ind w:firstLine="420" w:firstLineChars="200"/>
              <w:jc w:val="left"/>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投标人须具有以下证书：检验检测机构资质认定证书、建设工程质量检测机构资质证书（检测范围须包含建筑幕墙工程检测）、质量管理体系认证证书、环境管理体系认证证书、职业健康安全管理体系认证证书；</w:t>
            </w:r>
          </w:p>
          <w:p>
            <w:pPr>
              <w:numPr>
                <w:ilvl w:val="0"/>
                <w:numId w:val="0"/>
              </w:numPr>
              <w:ind w:firstLine="420" w:firstLineChars="20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3.深圳市光明区公共文化艺术和体育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numPr>
                <w:ilvl w:val="255"/>
                <w:numId w:val="0"/>
              </w:numPr>
              <w:tabs>
                <w:tab w:val="left" w:pos="7560"/>
              </w:tabs>
              <w:adjustRightInd w:val="0"/>
              <w:ind w:firstLine="420" w:firstLineChars="200"/>
              <w:jc w:val="left"/>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4.投标人未被主管部门及其他行政机关列入严重失信名单。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0" w:type="pct"/>
            <w:vAlign w:val="center"/>
          </w:tcPr>
          <w:p>
            <w:pPr>
              <w:numPr>
                <w:ilvl w:val="0"/>
                <w:numId w:val="0"/>
              </w:numPr>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5</w:t>
            </w:r>
          </w:p>
        </w:tc>
        <w:tc>
          <w:tcPr>
            <w:tcW w:w="900" w:type="pct"/>
            <w:vAlign w:val="center"/>
          </w:tcPr>
          <w:p>
            <w:pPr>
              <w:numPr>
                <w:ilvl w:val="0"/>
                <w:numId w:val="0"/>
              </w:numPr>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报价方法</w:t>
            </w:r>
          </w:p>
        </w:tc>
        <w:tc>
          <w:tcPr>
            <w:tcW w:w="3479" w:type="pct"/>
            <w:vAlign w:val="center"/>
          </w:tcPr>
          <w:p>
            <w:pPr>
              <w:numPr>
                <w:ilvl w:val="0"/>
                <w:numId w:val="0"/>
              </w:numPr>
              <w:ind w:firstLine="420" w:firstLineChars="20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投标报价总价包括但不限于现场措施、破损检测的结构和构件修复、税费及本项目涉及到的其他费用等一切费用。投标人应提供详尽的分项报价清单。报价应明确不含税单价、增值税税款、含税单价，不含增值税单价不因税率变化而变化，若在合同履行期间，且发票未开出，如遇增值税税率调整，招标人有权根据税率变动情况调整增值税税款。</w:t>
            </w:r>
            <w:r>
              <w:rPr>
                <w:rFonts w:hint="eastAsia" w:ascii="宋体" w:hAnsi="宋体" w:eastAsia="宋体" w:cs="宋体"/>
                <w:b w:val="0"/>
                <w:bCs w:val="0"/>
                <w:kern w:val="0"/>
                <w:sz w:val="21"/>
                <w:szCs w:val="21"/>
                <w:lang w:val="en-US" w:eastAsia="zh-CN" w:bidi="ar-SA"/>
              </w:rPr>
              <w:br w:type="textWrapping"/>
            </w:r>
            <w:r>
              <w:rPr>
                <w:rFonts w:hint="eastAsia" w:ascii="宋体" w:hAnsi="宋体" w:cs="宋体"/>
                <w:b w:val="0"/>
                <w:bCs w:val="0"/>
                <w:kern w:val="0"/>
                <w:sz w:val="21"/>
                <w:szCs w:val="21"/>
                <w:lang w:val="en-US" w:eastAsia="zh-CN" w:bidi="ar-SA"/>
              </w:rPr>
              <w:t xml:space="preserve">   </w:t>
            </w:r>
            <w:r>
              <w:rPr>
                <w:rFonts w:hint="eastAsia" w:ascii="宋体" w:hAnsi="宋体" w:eastAsia="宋体" w:cs="宋体"/>
                <w:b w:val="0"/>
                <w:bCs w:val="0"/>
                <w:kern w:val="0"/>
                <w:sz w:val="21"/>
                <w:szCs w:val="21"/>
                <w:lang w:val="en-US" w:eastAsia="zh-CN" w:bidi="ar-SA"/>
              </w:rPr>
              <w:t>本项目文件中提及的所有幕墙面积均为预估，具体情况以实际为准，本项目投标报价为包干价，要求包含本项目涉及到的一切费用，投标人须考量以上情况。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0" w:type="pct"/>
            <w:vAlign w:val="center"/>
          </w:tcPr>
          <w:p>
            <w:pPr>
              <w:numPr>
                <w:ilvl w:val="0"/>
                <w:numId w:val="0"/>
              </w:numPr>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6</w:t>
            </w:r>
          </w:p>
        </w:tc>
        <w:tc>
          <w:tcPr>
            <w:tcW w:w="900" w:type="pct"/>
            <w:vAlign w:val="center"/>
          </w:tcPr>
          <w:p>
            <w:pPr>
              <w:numPr>
                <w:ilvl w:val="0"/>
                <w:numId w:val="0"/>
              </w:numP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投标报价的上限</w:t>
            </w:r>
          </w:p>
        </w:tc>
        <w:tc>
          <w:tcPr>
            <w:tcW w:w="3479" w:type="pct"/>
            <w:vAlign w:val="center"/>
          </w:tcPr>
          <w:p>
            <w:pPr>
              <w:numPr>
                <w:ilvl w:val="0"/>
                <w:numId w:val="0"/>
              </w:numP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本项目的投标报价的上限：¥</w:t>
            </w:r>
            <w:r>
              <w:rPr>
                <w:rFonts w:hint="eastAsia" w:ascii="宋体" w:hAnsi="宋体" w:cs="宋体"/>
                <w:b w:val="0"/>
                <w:bCs w:val="0"/>
                <w:kern w:val="0"/>
                <w:sz w:val="21"/>
                <w:szCs w:val="21"/>
                <w:lang w:val="en-US" w:eastAsia="zh-CN" w:bidi="ar-SA"/>
              </w:rPr>
              <w:t>330000</w:t>
            </w:r>
            <w:r>
              <w:rPr>
                <w:rFonts w:hint="eastAsia" w:ascii="宋体" w:hAnsi="宋体" w:eastAsia="宋体" w:cs="宋体"/>
                <w:b w:val="0"/>
                <w:bCs w:val="0"/>
                <w:kern w:val="0"/>
                <w:sz w:val="21"/>
                <w:szCs w:val="21"/>
                <w:lang w:val="en-US" w:eastAsia="zh-CN" w:bidi="ar-SA"/>
              </w:rPr>
              <w:t>（人民币：</w:t>
            </w:r>
            <w:r>
              <w:rPr>
                <w:rFonts w:hint="eastAsia" w:ascii="宋体" w:hAnsi="宋体" w:cs="宋体"/>
                <w:b w:val="0"/>
                <w:bCs w:val="0"/>
                <w:kern w:val="0"/>
                <w:sz w:val="21"/>
                <w:szCs w:val="21"/>
                <w:lang w:val="en-US" w:eastAsia="zh-CN" w:bidi="ar-SA"/>
              </w:rPr>
              <w:t>叁拾叁万</w:t>
            </w:r>
            <w:r>
              <w:rPr>
                <w:rFonts w:hint="eastAsia" w:ascii="宋体" w:hAnsi="宋体" w:eastAsia="宋体" w:cs="宋体"/>
                <w:b w:val="0"/>
                <w:bCs w:val="0"/>
                <w:kern w:val="0"/>
                <w:sz w:val="21"/>
                <w:szCs w:val="21"/>
                <w:lang w:val="en-US" w:eastAsia="zh-CN" w:bidi="ar-SA"/>
              </w:rPr>
              <w:t>元整）超出预算金额的报价将被当作无效投标处理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20" w:type="pct"/>
            <w:vAlign w:val="center"/>
          </w:tcPr>
          <w:p>
            <w:pPr>
              <w:numPr>
                <w:ilvl w:val="0"/>
                <w:numId w:val="0"/>
              </w:numPr>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7</w:t>
            </w:r>
          </w:p>
        </w:tc>
        <w:tc>
          <w:tcPr>
            <w:tcW w:w="900" w:type="pct"/>
            <w:vAlign w:val="center"/>
          </w:tcPr>
          <w:p>
            <w:pPr>
              <w:numPr>
                <w:ilvl w:val="0"/>
                <w:numId w:val="0"/>
              </w:numP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投标人的替代方案</w:t>
            </w:r>
          </w:p>
        </w:tc>
        <w:tc>
          <w:tcPr>
            <w:tcW w:w="3479" w:type="pct"/>
            <w:vAlign w:val="center"/>
          </w:tcPr>
          <w:p>
            <w:pPr>
              <w:numPr>
                <w:ilvl w:val="0"/>
                <w:numId w:val="0"/>
              </w:numP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20" w:type="pct"/>
            <w:vAlign w:val="center"/>
          </w:tcPr>
          <w:p>
            <w:pPr>
              <w:numPr>
                <w:ilvl w:val="0"/>
                <w:numId w:val="0"/>
              </w:numPr>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8</w:t>
            </w:r>
          </w:p>
        </w:tc>
        <w:tc>
          <w:tcPr>
            <w:tcW w:w="900" w:type="pct"/>
            <w:vAlign w:val="center"/>
          </w:tcPr>
          <w:p>
            <w:pPr>
              <w:numPr>
                <w:ilvl w:val="0"/>
                <w:numId w:val="0"/>
              </w:numP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联合体投标</w:t>
            </w:r>
          </w:p>
        </w:tc>
        <w:tc>
          <w:tcPr>
            <w:tcW w:w="3479" w:type="pct"/>
            <w:vAlign w:val="center"/>
          </w:tcPr>
          <w:p>
            <w:pPr>
              <w:numPr>
                <w:ilvl w:val="0"/>
                <w:numId w:val="0"/>
              </w:numP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20" w:type="pct"/>
            <w:vAlign w:val="center"/>
          </w:tcPr>
          <w:p>
            <w:pPr>
              <w:numPr>
                <w:ilvl w:val="0"/>
                <w:numId w:val="0"/>
              </w:numPr>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9</w:t>
            </w:r>
          </w:p>
        </w:tc>
        <w:tc>
          <w:tcPr>
            <w:tcW w:w="900" w:type="pct"/>
            <w:vAlign w:val="center"/>
          </w:tcPr>
          <w:p>
            <w:pPr>
              <w:numPr>
                <w:ilvl w:val="0"/>
                <w:numId w:val="0"/>
              </w:numP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投标文件份数</w:t>
            </w:r>
          </w:p>
        </w:tc>
        <w:tc>
          <w:tcPr>
            <w:tcW w:w="3479" w:type="pct"/>
            <w:vAlign w:val="center"/>
          </w:tcPr>
          <w:p>
            <w:pPr>
              <w:numPr>
                <w:ilvl w:val="0"/>
                <w:numId w:val="0"/>
              </w:numP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投标书一式</w:t>
            </w:r>
            <w:r>
              <w:rPr>
                <w:rFonts w:hint="eastAsia" w:ascii="宋体" w:hAnsi="宋体" w:cs="宋体"/>
                <w:b w:val="0"/>
                <w:bCs w:val="0"/>
                <w:kern w:val="0"/>
                <w:sz w:val="21"/>
                <w:szCs w:val="21"/>
                <w:lang w:val="en-US" w:eastAsia="zh-CN" w:bidi="ar-SA"/>
              </w:rPr>
              <w:t>三</w:t>
            </w:r>
            <w:r>
              <w:rPr>
                <w:rFonts w:hint="eastAsia" w:ascii="宋体" w:hAnsi="宋体" w:eastAsia="宋体" w:cs="宋体"/>
                <w:b w:val="0"/>
                <w:bCs w:val="0"/>
                <w:kern w:val="0"/>
                <w:sz w:val="21"/>
                <w:szCs w:val="21"/>
                <w:lang w:val="en-US" w:eastAsia="zh-CN" w:bidi="ar-SA"/>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620" w:type="pct"/>
            <w:vAlign w:val="center"/>
          </w:tcPr>
          <w:p>
            <w:pPr>
              <w:tabs>
                <w:tab w:val="left" w:pos="7560"/>
              </w:tabs>
              <w:adjustRightInd w:val="0"/>
              <w:jc w:val="center"/>
              <w:rPr>
                <w:rFonts w:hint="default" w:ascii="仿宋_GB2312" w:hAnsi="仿宋_GB2312" w:eastAsia="仿宋_GB2312" w:cs="仿宋_GB2312"/>
                <w:b w:val="0"/>
                <w:bCs w:val="0"/>
                <w:kern w:val="2"/>
                <w:sz w:val="32"/>
                <w:szCs w:val="32"/>
                <w:lang w:val="en-US" w:eastAsia="zh-CN" w:bidi="ar-SA"/>
              </w:rPr>
            </w:pPr>
            <w:r>
              <w:rPr>
                <w:rFonts w:hint="eastAsia" w:ascii="宋体" w:hAnsi="宋体" w:cs="宋体"/>
                <w:b w:val="0"/>
                <w:bCs w:val="0"/>
                <w:kern w:val="0"/>
                <w:sz w:val="21"/>
                <w:szCs w:val="21"/>
                <w:lang w:val="en-US" w:eastAsia="zh-CN" w:bidi="ar-SA"/>
              </w:rPr>
              <w:t>10</w:t>
            </w:r>
          </w:p>
        </w:tc>
        <w:tc>
          <w:tcPr>
            <w:tcW w:w="900" w:type="pct"/>
            <w:vAlign w:val="center"/>
          </w:tcPr>
          <w:p>
            <w:pPr>
              <w:tabs>
                <w:tab w:val="left" w:pos="7560"/>
              </w:tabs>
              <w:adjustRightInd w:val="0"/>
              <w:jc w:val="center"/>
              <w:rPr>
                <w:rFonts w:hint="eastAsia" w:ascii="仿宋_GB2312" w:hAnsi="仿宋_GB2312" w:eastAsia="仿宋_GB2312" w:cs="仿宋_GB2312"/>
                <w:b w:val="0"/>
                <w:bCs w:val="0"/>
                <w:kern w:val="2"/>
                <w:sz w:val="32"/>
                <w:szCs w:val="32"/>
                <w:lang w:val="en-US" w:eastAsia="zh-CN" w:bidi="ar-SA"/>
              </w:rPr>
            </w:pPr>
            <w:r>
              <w:rPr>
                <w:rFonts w:hint="eastAsia" w:ascii="宋体" w:hAnsi="宋体" w:eastAsia="宋体" w:cs="宋体"/>
                <w:b w:val="0"/>
                <w:bCs w:val="0"/>
                <w:kern w:val="0"/>
                <w:sz w:val="21"/>
                <w:szCs w:val="21"/>
                <w:lang w:val="en-US" w:eastAsia="zh-CN" w:bidi="ar-SA"/>
              </w:rPr>
              <w:t>检</w:t>
            </w:r>
            <w:r>
              <w:rPr>
                <w:rFonts w:hint="eastAsia" w:ascii="宋体" w:hAnsi="宋体" w:cs="宋体"/>
                <w:b w:val="0"/>
                <w:bCs w:val="0"/>
                <w:kern w:val="0"/>
                <w:sz w:val="21"/>
                <w:szCs w:val="21"/>
                <w:lang w:val="en-US" w:eastAsia="zh-CN" w:bidi="ar-SA"/>
              </w:rPr>
              <w:t>测</w:t>
            </w:r>
            <w:r>
              <w:rPr>
                <w:rFonts w:hint="eastAsia" w:ascii="宋体" w:hAnsi="宋体" w:eastAsia="宋体" w:cs="宋体"/>
                <w:b w:val="0"/>
                <w:bCs w:val="0"/>
                <w:kern w:val="0"/>
                <w:sz w:val="21"/>
                <w:szCs w:val="21"/>
                <w:lang w:val="en-US" w:eastAsia="zh-CN" w:bidi="ar-SA"/>
              </w:rPr>
              <w:t>内容</w:t>
            </w:r>
          </w:p>
        </w:tc>
        <w:tc>
          <w:tcPr>
            <w:tcW w:w="3479" w:type="pct"/>
            <w:vAlign w:val="center"/>
          </w:tcPr>
          <w:p>
            <w:pPr>
              <w:pStyle w:val="3"/>
              <w:kinsoku w:val="0"/>
              <w:overflowPunct w:val="0"/>
              <w:spacing w:before="26" w:line="380" w:lineRule="exact"/>
              <w:ind w:left="0"/>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1.幕墙面板检查：包括幕墙面板的破损、脱胶、松动、变形等；</w:t>
            </w:r>
          </w:p>
          <w:p>
            <w:pPr>
              <w:pStyle w:val="3"/>
              <w:kinsoku w:val="0"/>
              <w:overflowPunct w:val="0"/>
              <w:spacing w:before="26" w:line="380" w:lineRule="exact"/>
              <w:ind w:left="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2.支承构件检查：包括受力构件的锈蚀、松动、变形、开裂等；</w:t>
            </w:r>
          </w:p>
          <w:p>
            <w:pPr>
              <w:pStyle w:val="3"/>
              <w:kinsoku w:val="0"/>
              <w:overflowPunct w:val="0"/>
              <w:spacing w:before="26" w:line="380" w:lineRule="exact"/>
              <w:ind w:left="0"/>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3.开启窗检查：包括开启窗的五金配件锈蚀松动、启闭密性能等；</w:t>
            </w:r>
          </w:p>
          <w:p>
            <w:pPr>
              <w:pStyle w:val="3"/>
              <w:kinsoku w:val="0"/>
              <w:overflowPunct w:val="0"/>
              <w:spacing w:before="26" w:line="380" w:lineRule="exact"/>
              <w:ind w:left="0"/>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4.室外构件检查：包括室外构件的松动、脱落、锈蚀、变形等；</w:t>
            </w:r>
          </w:p>
          <w:p>
            <w:pPr>
              <w:pStyle w:val="3"/>
              <w:kinsoku w:val="0"/>
              <w:overflowPunct w:val="0"/>
              <w:spacing w:before="26" w:line="380" w:lineRule="exact"/>
              <w:ind w:left="0"/>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5.连接构造检：包括节点连接构件的锈蚀、松动、变形、脱落等；</w:t>
            </w:r>
          </w:p>
          <w:p>
            <w:pPr>
              <w:pStyle w:val="3"/>
              <w:kinsoku w:val="0"/>
              <w:overflowPunct w:val="0"/>
              <w:spacing w:before="26" w:line="380" w:lineRule="exact"/>
              <w:ind w:left="0"/>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6.功能性构造检查：包括胶条的构造、老化、松动、开裂等；防雷、防火、排水、渗漏等功能性构造检查；</w:t>
            </w:r>
          </w:p>
          <w:p>
            <w:pPr>
              <w:numPr>
                <w:ilvl w:val="0"/>
                <w:numId w:val="0"/>
              </w:numPr>
              <w:rPr>
                <w:rFonts w:hint="eastAsia" w:ascii="宋体" w:hAnsi="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7</w:t>
            </w:r>
            <w:r>
              <w:rPr>
                <w:rFonts w:hint="eastAsia" w:ascii="宋体" w:hAnsi="宋体" w:eastAsia="宋体" w:cs="宋体"/>
                <w:b w:val="0"/>
                <w:bCs w:val="0"/>
                <w:kern w:val="0"/>
                <w:sz w:val="21"/>
                <w:szCs w:val="21"/>
                <w:lang w:val="en-US" w:eastAsia="zh-CN" w:bidi="ar-SA"/>
              </w:rPr>
              <w:t>.硅酮结构密封胶检查</w:t>
            </w:r>
            <w:r>
              <w:rPr>
                <w:rFonts w:hint="eastAsia" w:ascii="宋体" w:hAnsi="宋体" w:cs="宋体"/>
                <w:b w:val="0"/>
                <w:bCs w:val="0"/>
                <w:kern w:val="0"/>
                <w:sz w:val="21"/>
                <w:szCs w:val="21"/>
                <w:lang w:val="en-US" w:eastAsia="zh-CN" w:bidi="ar-SA"/>
              </w:rPr>
              <w:t>：包括</w:t>
            </w:r>
            <w:r>
              <w:rPr>
                <w:rFonts w:hint="eastAsia" w:ascii="宋体" w:hAnsi="宋体" w:eastAsia="宋体" w:cs="宋体"/>
                <w:b w:val="0"/>
                <w:bCs w:val="0"/>
                <w:kern w:val="0"/>
                <w:sz w:val="21"/>
                <w:szCs w:val="21"/>
                <w:lang w:val="en-US" w:eastAsia="zh-CN" w:bidi="ar-SA"/>
              </w:rPr>
              <w:t>结构胶的硬度试验</w:t>
            </w:r>
            <w:r>
              <w:rPr>
                <w:rFonts w:hint="eastAsia" w:ascii="宋体" w:hAnsi="宋体" w:cs="宋体"/>
                <w:b w:val="0"/>
                <w:bCs w:val="0"/>
                <w:kern w:val="0"/>
                <w:sz w:val="21"/>
                <w:szCs w:val="21"/>
                <w:lang w:val="en-US" w:eastAsia="zh-CN" w:bidi="ar-SA"/>
              </w:rPr>
              <w:t>等</w:t>
            </w:r>
            <w:r>
              <w:rPr>
                <w:rFonts w:hint="eastAsia" w:ascii="宋体" w:hAnsi="宋体" w:eastAsia="宋体" w:cs="宋体"/>
                <w:b w:val="0"/>
                <w:bCs w:val="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620" w:type="pct"/>
            <w:vAlign w:val="center"/>
          </w:tcPr>
          <w:p>
            <w:pPr>
              <w:tabs>
                <w:tab w:val="left" w:pos="7560"/>
              </w:tabs>
              <w:adjustRightInd w:val="0"/>
              <w:jc w:val="center"/>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11</w:t>
            </w:r>
          </w:p>
        </w:tc>
        <w:tc>
          <w:tcPr>
            <w:tcW w:w="900" w:type="pct"/>
            <w:vAlign w:val="center"/>
          </w:tcPr>
          <w:p>
            <w:pPr>
              <w:tabs>
                <w:tab w:val="left" w:pos="7560"/>
              </w:tabs>
              <w:adjustRightInd w:val="0"/>
              <w:jc w:val="center"/>
              <w:rPr>
                <w:rFonts w:hint="eastAsia" w:ascii="宋体" w:hAnsi="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检查标准</w:t>
            </w:r>
          </w:p>
        </w:tc>
        <w:tc>
          <w:tcPr>
            <w:tcW w:w="3479" w:type="pct"/>
            <w:vAlign w:val="center"/>
          </w:tcPr>
          <w:p>
            <w:pPr>
              <w:pStyle w:val="3"/>
              <w:kinsoku w:val="0"/>
              <w:overflowPunct w:val="0"/>
              <w:spacing w:before="26" w:line="380" w:lineRule="exact"/>
              <w:ind w:left="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 xml:space="preserve">检查单元的划分应符合下列规定： </w:t>
            </w:r>
          </w:p>
          <w:p>
            <w:pPr>
              <w:pStyle w:val="3"/>
              <w:kinsoku w:val="0"/>
              <w:overflowPunct w:val="0"/>
              <w:spacing w:before="26" w:line="380" w:lineRule="exact"/>
              <w:ind w:left="0"/>
              <w:rPr>
                <w:rFonts w:hint="eastAsia" w:ascii="宋体" w:hAnsi="宋体" w:eastAsia="宋体" w:cs="宋体"/>
                <w:b w:val="0"/>
                <w:bCs w:val="0"/>
                <w:kern w:val="0"/>
                <w:sz w:val="21"/>
                <w:szCs w:val="21"/>
                <w:lang w:val="en-US" w:eastAsia="zh-CN" w:bidi="ar-SA"/>
              </w:rPr>
            </w:pPr>
            <w:r>
              <w:rPr>
                <w:rFonts w:hint="default" w:ascii="宋体" w:hAnsi="宋体" w:eastAsia="宋体" w:cs="宋体"/>
                <w:b w:val="0"/>
                <w:bCs w:val="0"/>
                <w:kern w:val="0"/>
                <w:sz w:val="21"/>
                <w:szCs w:val="21"/>
                <w:lang w:val="en-US" w:eastAsia="zh-CN" w:bidi="ar-SA"/>
              </w:rPr>
              <w:t xml:space="preserve">1 </w:t>
            </w:r>
            <w:r>
              <w:rPr>
                <w:rFonts w:hint="eastAsia" w:ascii="宋体" w:hAnsi="宋体" w:eastAsia="宋体" w:cs="宋体"/>
                <w:b w:val="0"/>
                <w:bCs w:val="0"/>
                <w:kern w:val="0"/>
                <w:sz w:val="21"/>
                <w:szCs w:val="21"/>
                <w:lang w:val="en-US" w:eastAsia="zh-CN" w:bidi="ar-SA"/>
              </w:rPr>
              <w:t xml:space="preserve">不同结构形式的幕墙应单独划分检查单元； </w:t>
            </w:r>
          </w:p>
          <w:p>
            <w:pPr>
              <w:pStyle w:val="3"/>
              <w:kinsoku w:val="0"/>
              <w:overflowPunct w:val="0"/>
              <w:spacing w:before="26" w:line="380" w:lineRule="exact"/>
              <w:ind w:left="0"/>
              <w:rPr>
                <w:rFonts w:hint="eastAsia" w:ascii="宋体" w:hAnsi="宋体" w:eastAsia="宋体" w:cs="宋体"/>
                <w:b w:val="0"/>
                <w:bCs w:val="0"/>
                <w:kern w:val="0"/>
                <w:sz w:val="21"/>
                <w:szCs w:val="21"/>
                <w:lang w:val="en-US" w:eastAsia="zh-CN" w:bidi="ar-SA"/>
              </w:rPr>
            </w:pPr>
            <w:r>
              <w:rPr>
                <w:rFonts w:hint="default" w:ascii="宋体" w:hAnsi="宋体" w:eastAsia="宋体" w:cs="宋体"/>
                <w:b w:val="0"/>
                <w:bCs w:val="0"/>
                <w:kern w:val="0"/>
                <w:sz w:val="21"/>
                <w:szCs w:val="21"/>
                <w:lang w:val="en-US" w:eastAsia="zh-CN" w:bidi="ar-SA"/>
              </w:rPr>
              <w:t xml:space="preserve">2 </w:t>
            </w:r>
            <w:r>
              <w:rPr>
                <w:rFonts w:hint="eastAsia" w:ascii="宋体" w:hAnsi="宋体" w:eastAsia="宋体" w:cs="宋体"/>
                <w:b w:val="0"/>
                <w:bCs w:val="0"/>
                <w:kern w:val="0"/>
                <w:sz w:val="21"/>
                <w:szCs w:val="21"/>
                <w:lang w:val="en-US" w:eastAsia="zh-CN" w:bidi="ar-SA"/>
              </w:rPr>
              <w:t xml:space="preserve">同一结构形式的幕墙应按每 </w:t>
            </w:r>
            <w:r>
              <w:rPr>
                <w:rFonts w:hint="default" w:ascii="宋体" w:hAnsi="宋体" w:eastAsia="宋体" w:cs="宋体"/>
                <w:b w:val="0"/>
                <w:bCs w:val="0"/>
                <w:kern w:val="0"/>
                <w:sz w:val="21"/>
                <w:szCs w:val="21"/>
                <w:lang w:val="en-US" w:eastAsia="zh-CN" w:bidi="ar-SA"/>
              </w:rPr>
              <w:t xml:space="preserve">5,000m2 </w:t>
            </w:r>
            <w:r>
              <w:rPr>
                <w:rFonts w:hint="eastAsia" w:ascii="宋体" w:hAnsi="宋体" w:eastAsia="宋体" w:cs="宋体"/>
                <w:b w:val="0"/>
                <w:bCs w:val="0"/>
                <w:kern w:val="0"/>
                <w:sz w:val="21"/>
                <w:szCs w:val="21"/>
                <w:lang w:val="en-US" w:eastAsia="zh-CN" w:bidi="ar-SA"/>
              </w:rPr>
              <w:t xml:space="preserve">划分为一个检查单元，不足 </w:t>
            </w:r>
            <w:r>
              <w:rPr>
                <w:rFonts w:hint="default" w:ascii="宋体" w:hAnsi="宋体" w:eastAsia="宋体" w:cs="宋体"/>
                <w:b w:val="0"/>
                <w:bCs w:val="0"/>
                <w:kern w:val="0"/>
                <w:sz w:val="21"/>
                <w:szCs w:val="21"/>
                <w:lang w:val="en-US" w:eastAsia="zh-CN" w:bidi="ar-SA"/>
              </w:rPr>
              <w:t xml:space="preserve">5,000m2 </w:t>
            </w:r>
            <w:r>
              <w:rPr>
                <w:rFonts w:hint="eastAsia" w:ascii="宋体" w:hAnsi="宋体" w:eastAsia="宋体" w:cs="宋体"/>
                <w:b w:val="0"/>
                <w:bCs w:val="0"/>
                <w:kern w:val="0"/>
                <w:sz w:val="21"/>
                <w:szCs w:val="21"/>
                <w:lang w:val="en-US" w:eastAsia="zh-CN" w:bidi="ar-SA"/>
              </w:rPr>
              <w:t xml:space="preserve">时应单独划分 为一个检查单元。 </w:t>
            </w:r>
          </w:p>
          <w:p>
            <w:pPr>
              <w:pStyle w:val="3"/>
              <w:kinsoku w:val="0"/>
              <w:overflowPunct w:val="0"/>
              <w:spacing w:before="26" w:line="380" w:lineRule="exact"/>
              <w:ind w:left="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 xml:space="preserve">一、在一个检查单元中，现场检查项目的构件或构造抽样应符合下列规定： </w:t>
            </w:r>
          </w:p>
          <w:p>
            <w:pPr>
              <w:pStyle w:val="3"/>
              <w:kinsoku w:val="0"/>
              <w:overflowPunct w:val="0"/>
              <w:spacing w:before="26" w:line="380" w:lineRule="exact"/>
              <w:ind w:left="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 xml:space="preserve">1.试样应为随机抽样，且宜在有代表性的位置分散抽取； </w:t>
            </w:r>
          </w:p>
          <w:p>
            <w:pPr>
              <w:pStyle w:val="3"/>
              <w:kinsoku w:val="0"/>
              <w:overflowPunct w:val="0"/>
              <w:spacing w:before="26" w:line="380" w:lineRule="exact"/>
              <w:ind w:left="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 xml:space="preserve">2.现场检查项目中，幕墙面板、室外构件、开启窗的最小抽样数应符合构造总数的 </w:t>
            </w:r>
            <w:r>
              <w:rPr>
                <w:rFonts w:hint="default" w:ascii="宋体" w:hAnsi="宋体" w:eastAsia="宋体" w:cs="宋体"/>
                <w:b w:val="0"/>
                <w:bCs w:val="0"/>
                <w:kern w:val="0"/>
                <w:sz w:val="21"/>
                <w:szCs w:val="21"/>
                <w:lang w:val="en-US" w:eastAsia="zh-CN" w:bidi="ar-SA"/>
              </w:rPr>
              <w:t>1%</w:t>
            </w:r>
            <w:r>
              <w:rPr>
                <w:rFonts w:hint="eastAsia" w:ascii="宋体" w:hAnsi="宋体" w:eastAsia="宋体" w:cs="宋体"/>
                <w:b w:val="0"/>
                <w:bCs w:val="0"/>
                <w:kern w:val="0"/>
                <w:sz w:val="21"/>
                <w:szCs w:val="21"/>
                <w:lang w:val="en-US" w:eastAsia="zh-CN" w:bidi="ar-SA"/>
              </w:rPr>
              <w:t xml:space="preserve">，且最小抽样数不应小于 </w:t>
            </w:r>
            <w:r>
              <w:rPr>
                <w:rFonts w:hint="default" w:ascii="宋体" w:hAnsi="宋体" w:eastAsia="宋体" w:cs="宋体"/>
                <w:b w:val="0"/>
                <w:bCs w:val="0"/>
                <w:kern w:val="0"/>
                <w:sz w:val="21"/>
                <w:szCs w:val="21"/>
                <w:lang w:val="en-US" w:eastAsia="zh-CN" w:bidi="ar-SA"/>
              </w:rPr>
              <w:t xml:space="preserve">5 </w:t>
            </w:r>
            <w:r>
              <w:rPr>
                <w:rFonts w:hint="eastAsia" w:ascii="宋体" w:hAnsi="宋体" w:eastAsia="宋体" w:cs="宋体"/>
                <w:b w:val="0"/>
                <w:bCs w:val="0"/>
                <w:kern w:val="0"/>
                <w:sz w:val="21"/>
                <w:szCs w:val="21"/>
                <w:lang w:val="en-US" w:eastAsia="zh-CN" w:bidi="ar-SA"/>
              </w:rPr>
              <w:t xml:space="preserve">个； </w:t>
            </w:r>
          </w:p>
          <w:p>
            <w:pPr>
              <w:pStyle w:val="3"/>
              <w:kinsoku w:val="0"/>
              <w:overflowPunct w:val="0"/>
              <w:spacing w:before="26" w:line="380" w:lineRule="exact"/>
              <w:ind w:left="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 xml:space="preserve">3.按百分比计算的最小抽样数带有小数时，应按四舍五入的原则取舍； </w:t>
            </w:r>
          </w:p>
          <w:p>
            <w:pPr>
              <w:pStyle w:val="3"/>
              <w:kinsoku w:val="0"/>
              <w:overflowPunct w:val="0"/>
              <w:spacing w:before="26" w:line="380" w:lineRule="exact"/>
              <w:ind w:left="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 xml:space="preserve">4.当检查单元构件或构造总数小于最小抽样数时，应全数检查。 </w:t>
            </w:r>
          </w:p>
          <w:p>
            <w:pPr>
              <w:pStyle w:val="3"/>
              <w:kinsoku w:val="0"/>
              <w:overflowPunct w:val="0"/>
              <w:spacing w:before="26" w:line="380" w:lineRule="exact"/>
              <w:ind w:left="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 xml:space="preserve">二、在一个检查单元中，检查项目的评定应符合下列规定： </w:t>
            </w:r>
          </w:p>
          <w:p>
            <w:pPr>
              <w:pStyle w:val="3"/>
              <w:kinsoku w:val="0"/>
              <w:overflowPunct w:val="0"/>
              <w:spacing w:before="26" w:line="380" w:lineRule="exact"/>
              <w:ind w:left="0"/>
              <w:rPr>
                <w:rFonts w:hint="eastAsia" w:ascii="宋体" w:hAnsi="宋体" w:eastAsia="宋体" w:cs="宋体"/>
                <w:b w:val="0"/>
                <w:bCs w:val="0"/>
                <w:kern w:val="0"/>
                <w:sz w:val="21"/>
                <w:szCs w:val="21"/>
                <w:lang w:val="en-US" w:eastAsia="zh-CN" w:bidi="ar-SA"/>
              </w:rPr>
            </w:pPr>
            <w:r>
              <w:rPr>
                <w:rFonts w:hint="default" w:ascii="宋体" w:hAnsi="宋体" w:eastAsia="宋体" w:cs="宋体"/>
                <w:b w:val="0"/>
                <w:bCs w:val="0"/>
                <w:kern w:val="0"/>
                <w:sz w:val="21"/>
                <w:szCs w:val="21"/>
                <w:lang w:val="en-US" w:eastAsia="zh-CN" w:bidi="ar-SA"/>
              </w:rPr>
              <w:t xml:space="preserve">1 </w:t>
            </w:r>
            <w:r>
              <w:rPr>
                <w:rFonts w:hint="eastAsia" w:ascii="宋体" w:hAnsi="宋体" w:eastAsia="宋体" w:cs="宋体"/>
                <w:b w:val="0"/>
                <w:bCs w:val="0"/>
                <w:kern w:val="0"/>
                <w:sz w:val="21"/>
                <w:szCs w:val="21"/>
                <w:lang w:val="en-US" w:eastAsia="zh-CN" w:bidi="ar-SA"/>
              </w:rPr>
              <w:t xml:space="preserve">对构件或构造进行检查时，应按检查项目的各项检查评定依据进行评定，并取评定结果的最低等级作为试样的最终评定等级； </w:t>
            </w:r>
          </w:p>
          <w:p>
            <w:pPr>
              <w:pStyle w:val="3"/>
              <w:kinsoku w:val="0"/>
              <w:overflowPunct w:val="0"/>
              <w:spacing w:before="26" w:line="380" w:lineRule="exact"/>
              <w:ind w:left="0"/>
              <w:rPr>
                <w:rFonts w:hint="eastAsia" w:ascii="宋体" w:hAnsi="宋体" w:eastAsia="宋体" w:cs="宋体"/>
                <w:b w:val="0"/>
                <w:bCs w:val="0"/>
                <w:kern w:val="0"/>
                <w:sz w:val="21"/>
                <w:szCs w:val="21"/>
                <w:lang w:val="en-US" w:eastAsia="zh-CN" w:bidi="ar-SA"/>
              </w:rPr>
            </w:pPr>
            <w:r>
              <w:rPr>
                <w:rFonts w:hint="default" w:ascii="宋体" w:hAnsi="宋体" w:eastAsia="宋体" w:cs="宋体"/>
                <w:b w:val="0"/>
                <w:bCs w:val="0"/>
                <w:kern w:val="0"/>
                <w:sz w:val="21"/>
                <w:szCs w:val="21"/>
                <w:lang w:val="en-US" w:eastAsia="zh-CN" w:bidi="ar-SA"/>
              </w:rPr>
              <w:t xml:space="preserve">2 </w:t>
            </w:r>
            <w:r>
              <w:rPr>
                <w:rFonts w:hint="eastAsia" w:ascii="宋体" w:hAnsi="宋体" w:eastAsia="宋体" w:cs="宋体"/>
                <w:b w:val="0"/>
                <w:bCs w:val="0"/>
                <w:kern w:val="0"/>
                <w:sz w:val="21"/>
                <w:szCs w:val="21"/>
                <w:lang w:val="en-US" w:eastAsia="zh-CN" w:bidi="ar-SA"/>
              </w:rPr>
              <w:t>检查项目的抽样数及符合性判定数应符合规定。当抽样数在表中给出的数值 之间时，符合性判定数应通过插值法并四舍五入取整确定；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jc w:val="center"/>
        </w:trPr>
        <w:tc>
          <w:tcPr>
            <w:tcW w:w="620" w:type="pct"/>
            <w:vAlign w:val="center"/>
          </w:tcPr>
          <w:p>
            <w:pPr>
              <w:tabs>
                <w:tab w:val="left" w:pos="7560"/>
              </w:tabs>
              <w:adjustRightInd w:val="0"/>
              <w:jc w:val="center"/>
              <w:rPr>
                <w:rFonts w:hint="default"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12</w:t>
            </w:r>
          </w:p>
        </w:tc>
        <w:tc>
          <w:tcPr>
            <w:tcW w:w="900" w:type="pct"/>
            <w:vAlign w:val="center"/>
          </w:tcPr>
          <w:p>
            <w:pPr>
              <w:tabs>
                <w:tab w:val="left" w:pos="7560"/>
              </w:tabs>
              <w:adjustRightInd w:val="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检测报告</w:t>
            </w:r>
          </w:p>
        </w:tc>
        <w:tc>
          <w:tcPr>
            <w:tcW w:w="3479" w:type="pct"/>
            <w:vAlign w:val="center"/>
          </w:tcPr>
          <w:p>
            <w:pPr>
              <w:spacing w:line="360" w:lineRule="auto"/>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w:t>
            </w:r>
            <w:r>
              <w:rPr>
                <w:rFonts w:hint="eastAsia" w:ascii="宋体" w:hAnsi="宋体" w:cs="宋体"/>
                <w:b w:val="0"/>
                <w:bCs w:val="0"/>
                <w:kern w:val="0"/>
                <w:sz w:val="21"/>
                <w:szCs w:val="21"/>
                <w:lang w:val="en-US" w:eastAsia="zh-CN" w:bidi="ar-SA"/>
              </w:rPr>
              <w:t>完成检测后</w:t>
            </w:r>
            <w:r>
              <w:rPr>
                <w:rFonts w:hint="eastAsia" w:ascii="宋体" w:hAnsi="宋体" w:eastAsia="宋体" w:cs="宋体"/>
                <w:b w:val="0"/>
                <w:bCs w:val="0"/>
                <w:kern w:val="0"/>
                <w:sz w:val="21"/>
                <w:szCs w:val="21"/>
                <w:lang w:val="en-US" w:eastAsia="zh-CN" w:bidi="ar-SA"/>
              </w:rPr>
              <w:t>，应按照《既有建筑幕墙定期安全检查结果汇总表》填报各项检查的结果和分析意见。</w:t>
            </w:r>
          </w:p>
          <w:p>
            <w:pPr>
              <w:spacing w:line="360" w:lineRule="auto"/>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w:t>
            </w:r>
            <w:r>
              <w:rPr>
                <w:rFonts w:hint="eastAsia" w:ascii="宋体" w:hAnsi="宋体" w:cs="宋体"/>
                <w:b w:val="0"/>
                <w:bCs w:val="0"/>
                <w:kern w:val="0"/>
                <w:sz w:val="21"/>
                <w:szCs w:val="21"/>
                <w:lang w:val="en-US" w:eastAsia="zh-CN" w:bidi="ar-SA"/>
              </w:rPr>
              <w:t>完成检测后，</w:t>
            </w:r>
            <w:r>
              <w:rPr>
                <w:rFonts w:hint="eastAsia" w:ascii="宋体" w:hAnsi="宋体" w:eastAsia="宋体" w:cs="宋体"/>
                <w:b w:val="0"/>
                <w:bCs w:val="0"/>
                <w:kern w:val="0"/>
                <w:sz w:val="21"/>
                <w:szCs w:val="21"/>
                <w:lang w:val="en-US" w:eastAsia="zh-CN" w:bidi="ar-SA"/>
              </w:rPr>
              <w:t>按照《既有建筑幕墙定期安全检查评定报告》的各项内容详细填写，检查单位出具的检查结论及处理意见应包含以下内容：</w:t>
            </w:r>
          </w:p>
          <w:p>
            <w:pPr>
              <w:widowControl/>
              <w:tabs>
                <w:tab w:val="left" w:pos="1080"/>
              </w:tabs>
              <w:autoSpaceDE/>
              <w:autoSpaceDN/>
              <w:adjustRightInd/>
              <w:spacing w:line="360" w:lineRule="auto"/>
              <w:ind w:firstLine="247" w:firstLineChars="118"/>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1）列出评定为 b 等级的子单元并给予说明；</w:t>
            </w:r>
            <w:bookmarkStart w:id="0" w:name="page22"/>
            <w:bookmarkEnd w:id="0"/>
            <w:r>
              <w:rPr>
                <w:rFonts w:hint="default" w:ascii="宋体" w:hAnsi="宋体" w:eastAsia="宋体" w:cs="宋体"/>
                <w:b w:val="0"/>
                <w:bCs w:val="0"/>
                <w:kern w:val="0"/>
                <w:sz w:val="21"/>
                <w:szCs w:val="21"/>
                <w:lang w:val="en-US" w:eastAsia="zh-CN" w:bidi="ar-SA"/>
              </w:rPr>
              <w:t xml:space="preserve"> </w:t>
            </w:r>
          </w:p>
          <w:p>
            <w:pPr>
              <w:widowControl/>
              <w:tabs>
                <w:tab w:val="left" w:pos="1080"/>
              </w:tabs>
              <w:autoSpaceDE/>
              <w:autoSpaceDN/>
              <w:adjustRightInd/>
              <w:spacing w:line="360" w:lineRule="auto"/>
              <w:ind w:firstLine="247" w:firstLineChars="118"/>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2）列出评定为 c 等级的检查单元，并对其逐一给出处理意见；</w:t>
            </w:r>
          </w:p>
          <w:p>
            <w:pPr>
              <w:widowControl/>
              <w:tabs>
                <w:tab w:val="left" w:pos="1080"/>
              </w:tabs>
              <w:autoSpaceDE/>
              <w:autoSpaceDN/>
              <w:adjustRightInd/>
              <w:spacing w:line="360" w:lineRule="auto"/>
              <w:ind w:firstLine="247" w:firstLineChars="118"/>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3）对存在坠落伤害事故风险需立即处理的安全隐患和需作进一步处理或安全性鉴定的问题应作重点说明。</w:t>
            </w:r>
          </w:p>
        </w:tc>
      </w:tr>
    </w:tbl>
    <w:p>
      <w:pPr>
        <w:pStyle w:val="2"/>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b w:val="0"/>
          <w:bCs w:val="0"/>
          <w:kern w:val="0"/>
          <w:sz w:val="21"/>
          <w:szCs w:val="21"/>
          <w:lang w:val="en-US" w:eastAsia="zh-CN" w:bidi="ar-SA"/>
        </w:rPr>
      </w:pPr>
    </w:p>
    <w:p>
      <w:pPr>
        <w:rPr>
          <w:rFonts w:hint="eastAsia" w:ascii="仿宋_GB2312" w:hAnsi="仿宋_GB2312" w:eastAsia="仿宋_GB2312" w:cs="仿宋_GB2312"/>
          <w:b w:val="0"/>
          <w:bCs w:val="0"/>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MzM1ODMzMDdlNjY1NDg0NTlmYzE2ZTQwZWE2MzcifQ=="/>
  </w:docVars>
  <w:rsids>
    <w:rsidRoot w:val="68F025B6"/>
    <w:rsid w:val="01210C0E"/>
    <w:rsid w:val="049E244A"/>
    <w:rsid w:val="08494EF8"/>
    <w:rsid w:val="133510EC"/>
    <w:rsid w:val="1C9E1B55"/>
    <w:rsid w:val="207E38B6"/>
    <w:rsid w:val="2437332E"/>
    <w:rsid w:val="2AC670CE"/>
    <w:rsid w:val="2AD16B1E"/>
    <w:rsid w:val="303530CD"/>
    <w:rsid w:val="349C4B9A"/>
    <w:rsid w:val="37E24136"/>
    <w:rsid w:val="3E72531A"/>
    <w:rsid w:val="403F2B2E"/>
    <w:rsid w:val="42F027C9"/>
    <w:rsid w:val="43C91FBA"/>
    <w:rsid w:val="4A1E46B9"/>
    <w:rsid w:val="4C3D6A5C"/>
    <w:rsid w:val="4D6D0D4E"/>
    <w:rsid w:val="4D78129B"/>
    <w:rsid w:val="544D242D"/>
    <w:rsid w:val="5D8F7B09"/>
    <w:rsid w:val="65BE71C2"/>
    <w:rsid w:val="68F025B6"/>
    <w:rsid w:val="6D056157"/>
    <w:rsid w:val="71B46EAC"/>
    <w:rsid w:val="73B753BF"/>
    <w:rsid w:val="75506377"/>
    <w:rsid w:val="7693183D"/>
    <w:rsid w:val="7AEB24A4"/>
    <w:rsid w:val="7FA77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jc w:val="center"/>
      <w:outlineLvl w:val="0"/>
    </w:pPr>
    <w:rPr>
      <w:b/>
      <w:bCs/>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spacing w:before="36"/>
      <w:ind w:left="580"/>
    </w:pPr>
    <w:rPr>
      <w:rFonts w:ascii="仿宋" w:eastAsia="仿宋"/>
    </w:rPr>
  </w:style>
  <w:style w:type="paragraph" w:styleId="4">
    <w:name w:val="Body Text Indent"/>
    <w:basedOn w:val="1"/>
    <w:next w:val="5"/>
    <w:qFormat/>
    <w:uiPriority w:val="0"/>
    <w:pPr>
      <w:ind w:firstLine="632" w:firstLineChars="200"/>
    </w:pPr>
    <w:rPr>
      <w:rFonts w:ascii="仿宋_GB2312" w:hAnsi="华文楷体" w:eastAsia="仿宋_GB2312"/>
      <w:sz w:val="32"/>
    </w:rPr>
  </w:style>
  <w:style w:type="paragraph" w:styleId="5">
    <w:name w:val="envelope return"/>
    <w:basedOn w:val="1"/>
    <w:qFormat/>
    <w:uiPriority w:val="0"/>
    <w:pPr>
      <w:snapToGrid w:val="0"/>
    </w:pPr>
    <w:rPr>
      <w:rFonts w:ascii="Arial" w:hAnsi="Arial"/>
    </w:rPr>
  </w:style>
  <w:style w:type="paragraph" w:styleId="6">
    <w:name w:val="Body Text First Indent 2"/>
    <w:basedOn w:val="4"/>
    <w:next w:val="1"/>
    <w:qFormat/>
    <w:uiPriority w:val="0"/>
    <w:pPr>
      <w:ind w:firstLine="420" w:firstLineChars="200"/>
    </w:pPr>
    <w:rPr>
      <w:sz w:val="21"/>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1923</Words>
  <Characters>1998</Characters>
  <Lines>0</Lines>
  <Paragraphs>0</Paragraphs>
  <TotalTime>0</TotalTime>
  <ScaleCrop>false</ScaleCrop>
  <LinksUpToDate>false</LinksUpToDate>
  <CharactersWithSpaces>2035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2020-04-26T08:12:00Z</dcterms:created>
  <dc:creator>吴培隆</dc:creator>
  <cp:lastModifiedBy>彤木木</cp:lastModifiedBy>
  <cp:lastPrinted>2022-04-18T06:21:00Z</cp:lastPrinted>
  <dcterms:modified xsi:type="dcterms:W3CDTF">2022-05-17T08:39:32Z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59B8B5EF571A40FAA03B721E3DE2FE9C</vt:lpwstr>
  </property>
  <property fmtid="{D5CDD505-2E9C-101B-9397-08002B2CF9AE}" pid="4" name="commondata">
    <vt:lpwstr>eyJoZGlkIjoiNmMwMzM1ODMzMDdlNjY1NDg0NTlmYzE2ZTQwZWE2MzcifQ==</vt:lpwstr>
  </property>
</Properties>
</file>