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spacing w:line="560" w:lineRule="exact"/>
        <w:ind w:firstLine="640" w:firstLineChars="200"/>
        <w:rPr>
          <w:rFonts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十四五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赛艇</w:t>
      </w:r>
      <w:r>
        <w:rPr>
          <w:rFonts w:hint="eastAsia" w:ascii="仿宋_GB2312" w:hAnsi="仿宋_GB2312" w:eastAsia="仿宋_GB2312" w:cs="仿宋_GB2312"/>
          <w:color w:val="000000"/>
          <w:sz w:val="32"/>
          <w:szCs w:val="32"/>
          <w:lang w:eastAsia="zh-CN"/>
        </w:rPr>
        <w:t>（皮划艇）</w:t>
      </w:r>
      <w:r>
        <w:rPr>
          <w:rFonts w:hint="eastAsia" w:ascii="仿宋_GB2312" w:hAnsi="仿宋_GB2312" w:eastAsia="仿宋_GB2312" w:cs="仿宋_GB2312"/>
          <w:color w:val="000000"/>
          <w:sz w:val="32"/>
          <w:szCs w:val="32"/>
        </w:rPr>
        <w:t>项目的竞技体育训练。</w:t>
      </w:r>
    </w:p>
    <w:p>
      <w:pPr>
        <w:widowControl/>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本项目面向光明区青少年赛艇</w:t>
      </w:r>
      <w:r>
        <w:rPr>
          <w:rFonts w:hint="eastAsia" w:ascii="仿宋_GB2312" w:hAnsi="仿宋_GB2312" w:eastAsia="仿宋_GB2312" w:cs="仿宋_GB2312"/>
          <w:color w:val="000000"/>
          <w:sz w:val="32"/>
          <w:szCs w:val="32"/>
          <w:lang w:eastAsia="zh-CN"/>
        </w:rPr>
        <w:t>（皮划艇）</w:t>
      </w:r>
      <w:r>
        <w:rPr>
          <w:rFonts w:hint="eastAsia" w:ascii="仿宋_GB2312" w:hAnsi="仿宋_GB2312" w:eastAsia="仿宋_GB2312" w:cs="仿宋_GB2312"/>
          <w:sz w:val="32"/>
          <w:szCs w:val="32"/>
        </w:rPr>
        <w:t>队队员，培训</w:t>
      </w:r>
      <w:r>
        <w:rPr>
          <w:rFonts w:hint="eastAsia" w:ascii="仿宋" w:hAnsi="仿宋" w:eastAsia="仿宋" w:cs="仿宋"/>
          <w:bCs/>
          <w:sz w:val="32"/>
          <w:szCs w:val="32"/>
        </w:rPr>
        <w:t>时长总计</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课时。经测算，项目所需费用为训练课时服务费、组织策划服务费等，总费用控制在</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万元以内，拟从竞技体育项目经费中列支。</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委托专业的培训公司运行管理，投标方须根据采购方项目采购需求，制定完善的项目实施方案，并负责实施。</w:t>
      </w:r>
    </w:p>
    <w:p>
      <w:pPr>
        <w:numPr>
          <w:ilvl w:val="0"/>
          <w:numId w:val="1"/>
        </w:num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采购需求</w:t>
      </w:r>
    </w:p>
    <w:p>
      <w:pPr>
        <w:numPr>
          <w:ilvl w:val="0"/>
          <w:numId w:val="2"/>
        </w:numPr>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负责为区业余体校赛艇项目选拔后备人才不少于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人；</w:t>
      </w:r>
    </w:p>
    <w:p>
      <w:pPr>
        <w:widowControl/>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制定训练与培训计划、组织实施方案和目标，并严格按照制定的方案、计划和教学内容进行训练与培训，全年培训时间不少于</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课时。课程包含：青少年赛艇</w:t>
      </w:r>
      <w:r>
        <w:rPr>
          <w:rFonts w:hint="eastAsia" w:ascii="仿宋_GB2312" w:hAnsi="仿宋_GB2312" w:eastAsia="仿宋_GB2312" w:cs="仿宋_GB2312"/>
          <w:sz w:val="32"/>
          <w:szCs w:val="32"/>
          <w:lang w:eastAsia="zh-CN"/>
        </w:rPr>
        <w:t>（皮划艇）</w:t>
      </w:r>
      <w:r>
        <w:rPr>
          <w:rFonts w:hint="eastAsia" w:ascii="仿宋_GB2312" w:hAnsi="仿宋_GB2312" w:eastAsia="仿宋_GB2312" w:cs="仿宋_GB2312"/>
          <w:sz w:val="32"/>
          <w:szCs w:val="32"/>
        </w:rPr>
        <w:t>队日常训练、项目推广培训、后备人才选拔培训（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小时计算）；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树立目标，逐年提升参赛成绩，为市级及以上专业运动队伍选拔输送人才。</w:t>
      </w:r>
    </w:p>
    <w:p>
      <w:pPr>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（二）实施训练场地要求</w:t>
      </w:r>
    </w:p>
    <w:p>
      <w:pPr>
        <w:pStyle w:val="2"/>
        <w:spacing w:before="0" w:after="0" w:line="560" w:lineRule="exact"/>
        <w:ind w:firstLine="640" w:firstLineChars="200"/>
      </w:pPr>
      <w:r>
        <w:rPr>
          <w:rFonts w:hint="eastAsia" w:ascii="仿宋_GB2312" w:hAnsi="仿宋_GB2312" w:eastAsia="仿宋_GB2312" w:cs="仿宋_GB2312"/>
          <w:b w:val="0"/>
          <w:bCs w:val="0"/>
        </w:rPr>
        <w:t>中标单位须按照采购方的队伍布局要求到达指定的训练场地实施训练。中标单位在组织实施训练与培训过程中所需要的训练器材及耗材由中标单位自行负责购买使用。</w:t>
      </w:r>
    </w:p>
    <w:p>
      <w:pPr>
        <w:spacing w:line="560" w:lineRule="exact"/>
        <w:ind w:firstLine="642" w:firstLineChars="200"/>
        <w:jc w:val="left"/>
      </w:pPr>
      <w:r>
        <w:rPr>
          <w:rFonts w:hint="eastAsia" w:ascii="楷体_GB2312" w:hAnsi="楷体_GB2312" w:eastAsia="楷体_GB2312" w:cs="楷体_GB2312"/>
          <w:b/>
          <w:bCs/>
          <w:sz w:val="32"/>
          <w:szCs w:val="32"/>
        </w:rPr>
        <w:t>（三）项目技术和管理服务需求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投标方须提供一名相对固定、熟悉项目的联系对接人，负责项目日常跟进管理、队伍考勤及对接采购方，要求熟练电脑操作。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投标单位须根据项目要求向采购方派驻相应的专业教练员团队开展训练工作，同时须具备该项体育技能训练与培训实施经验和能力，每个课时须配备至少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名主教练和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名助理教练，具体技术要求如下：</w:t>
      </w:r>
    </w:p>
    <w:tbl>
      <w:tblPr>
        <w:tblStyle w:val="4"/>
        <w:tblpPr w:leftFromText="180" w:rightFromText="180" w:vertAnchor="text" w:horzAnchor="page" w:tblpX="880" w:tblpY="476"/>
        <w:tblOverlap w:val="never"/>
        <w:tblW w:w="10493" w:type="dxa"/>
        <w:tblInd w:w="0" w:type="dxa"/>
        <w:tblLayout w:type="fixed"/>
        <w:tblCellMar>
          <w:top w:w="15" w:type="dxa"/>
          <w:left w:w="15" w:type="dxa"/>
          <w:bottom w:w="15" w:type="dxa"/>
          <w:right w:w="15" w:type="dxa"/>
        </w:tblCellMar>
      </w:tblPr>
      <w:tblGrid>
        <w:gridCol w:w="700"/>
        <w:gridCol w:w="1164"/>
        <w:gridCol w:w="3918"/>
        <w:gridCol w:w="4036"/>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项目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主教练资格条件</w:t>
            </w:r>
          </w:p>
        </w:tc>
        <w:tc>
          <w:tcPr>
            <w:tcW w:w="4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助理教练资格条件</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kern w:val="0"/>
                <w:sz w:val="24"/>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赛艇</w:t>
            </w:r>
          </w:p>
          <w:p>
            <w:pPr>
              <w:widowControl/>
              <w:spacing w:line="5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（皮划艇）</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560" w:lineRule="exact"/>
              <w:jc w:val="both"/>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rPr>
              <w:t>具有国家一级运动员及以上称号；</w:t>
            </w:r>
          </w:p>
          <w:p>
            <w:pPr>
              <w:widowControl/>
              <w:numPr>
                <w:ilvl w:val="0"/>
                <w:numId w:val="0"/>
              </w:numPr>
              <w:spacing w:line="560" w:lineRule="exact"/>
              <w:jc w:val="both"/>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2.</w:t>
            </w:r>
            <w:r>
              <w:rPr>
                <w:rFonts w:hint="eastAsia" w:ascii="仿宋_GB2312" w:hAnsi="仿宋_GB2312" w:eastAsia="仿宋_GB2312" w:cs="仿宋_GB2312"/>
                <w:color w:val="000000"/>
                <w:kern w:val="0"/>
                <w:sz w:val="24"/>
              </w:rPr>
              <w:t>有</w:t>
            </w:r>
            <w:r>
              <w:rPr>
                <w:rFonts w:hint="eastAsia" w:ascii="仿宋_GB2312" w:hAnsi="仿宋_GB2312" w:eastAsia="仿宋_GB2312" w:cs="仿宋_GB2312"/>
                <w:color w:val="000000"/>
                <w:kern w:val="0"/>
                <w:sz w:val="24"/>
                <w:lang w:val="en-US" w:eastAsia="zh-CN"/>
              </w:rPr>
              <w:t>3</w:t>
            </w:r>
            <w:r>
              <w:rPr>
                <w:rFonts w:hint="eastAsia" w:ascii="仿宋_GB2312" w:hAnsi="仿宋_GB2312" w:eastAsia="仿宋_GB2312" w:cs="仿宋_GB2312"/>
                <w:color w:val="000000"/>
                <w:kern w:val="0"/>
                <w:sz w:val="24"/>
              </w:rPr>
              <w:t>年以上带队</w:t>
            </w:r>
            <w:r>
              <w:rPr>
                <w:rFonts w:hint="eastAsia" w:ascii="仿宋_GB2312" w:hAnsi="仿宋_GB2312" w:eastAsia="仿宋_GB2312" w:cs="仿宋_GB2312"/>
                <w:color w:val="000000"/>
                <w:kern w:val="0"/>
                <w:sz w:val="24"/>
                <w:lang w:eastAsia="zh-CN"/>
              </w:rPr>
              <w:t>训练</w:t>
            </w:r>
            <w:r>
              <w:rPr>
                <w:rFonts w:hint="eastAsia" w:ascii="仿宋_GB2312" w:hAnsi="仿宋_GB2312" w:eastAsia="仿宋_GB2312" w:cs="仿宋_GB2312"/>
                <w:color w:val="000000"/>
                <w:kern w:val="0"/>
                <w:sz w:val="24"/>
              </w:rPr>
              <w:t>工作经验</w:t>
            </w:r>
            <w:r>
              <w:rPr>
                <w:rFonts w:hint="eastAsia" w:ascii="仿宋_GB2312" w:hAnsi="仿宋_GB2312" w:eastAsia="仿宋_GB2312" w:cs="仿宋_GB2312"/>
                <w:color w:val="000000"/>
                <w:kern w:val="0"/>
                <w:sz w:val="24"/>
                <w:lang w:eastAsia="zh-CN"/>
              </w:rPr>
              <w:t>；</w:t>
            </w:r>
            <w:r>
              <w:rPr>
                <w:rFonts w:ascii="仿宋_GB2312" w:hAnsi="仿宋_GB2312" w:eastAsia="仿宋_GB2312" w:cs="仿宋_GB2312"/>
                <w:color w:val="000000"/>
                <w:kern w:val="0"/>
                <w:sz w:val="24"/>
              </w:rPr>
              <w:t xml:space="preserve"> </w:t>
            </w:r>
          </w:p>
          <w:p>
            <w:pPr>
              <w:widowControl/>
              <w:spacing w:line="560" w:lineRule="exact"/>
              <w:jc w:val="both"/>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3</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有</w:t>
            </w:r>
            <w:r>
              <w:rPr>
                <w:rFonts w:hint="eastAsia" w:ascii="仿宋_GB2312" w:hAnsi="仿宋_GB2312" w:eastAsia="仿宋_GB2312" w:cs="仿宋_GB2312"/>
                <w:color w:val="000000"/>
                <w:kern w:val="0"/>
                <w:sz w:val="24"/>
                <w:lang w:val="en-US" w:eastAsia="zh-CN"/>
              </w:rPr>
              <w:t>3</w:t>
            </w:r>
            <w:r>
              <w:rPr>
                <w:rFonts w:hint="eastAsia" w:ascii="仿宋_GB2312" w:hAnsi="仿宋_GB2312" w:eastAsia="仿宋_GB2312" w:cs="仿宋_GB2312"/>
                <w:color w:val="000000"/>
                <w:kern w:val="0"/>
                <w:sz w:val="24"/>
              </w:rPr>
              <w:t>年以上带队</w:t>
            </w:r>
            <w:r>
              <w:rPr>
                <w:rFonts w:hint="eastAsia" w:ascii="仿宋_GB2312" w:hAnsi="仿宋_GB2312" w:eastAsia="仿宋_GB2312" w:cs="仿宋_GB2312"/>
                <w:color w:val="000000"/>
                <w:kern w:val="0"/>
                <w:sz w:val="24"/>
                <w:lang w:eastAsia="zh-CN"/>
              </w:rPr>
              <w:t>参赛</w:t>
            </w:r>
            <w:r>
              <w:rPr>
                <w:rFonts w:hint="eastAsia" w:ascii="仿宋_GB2312" w:hAnsi="仿宋_GB2312" w:eastAsia="仿宋_GB2312" w:cs="仿宋_GB2312"/>
                <w:color w:val="000000"/>
                <w:kern w:val="0"/>
                <w:sz w:val="24"/>
              </w:rPr>
              <w:t>工作经验；</w:t>
            </w:r>
          </w:p>
          <w:p>
            <w:pPr>
              <w:widowControl/>
              <w:spacing w:line="560" w:lineRule="exact"/>
              <w:jc w:val="both"/>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以上条件满足其中一项即可）</w:t>
            </w:r>
          </w:p>
          <w:p>
            <w:pPr>
              <w:widowControl/>
              <w:spacing w:line="560" w:lineRule="exact"/>
              <w:jc w:val="both"/>
              <w:textAlignment w:val="center"/>
              <w:rPr>
                <w:rFonts w:hint="eastAsia" w:ascii="仿宋_GB2312" w:hAnsi="仿宋_GB2312" w:eastAsia="仿宋_GB2312" w:cs="仿宋_GB2312"/>
                <w:color w:val="000000"/>
                <w:sz w:val="24"/>
                <w:lang w:eastAsia="zh-CN"/>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本科及以上学历</w:t>
            </w:r>
            <w:r>
              <w:rPr>
                <w:rFonts w:hint="eastAsia" w:ascii="仿宋_GB2312" w:hAnsi="仿宋_GB2312" w:eastAsia="仿宋_GB2312" w:cs="仿宋_GB2312"/>
                <w:color w:val="000000"/>
                <w:kern w:val="0"/>
                <w:sz w:val="24"/>
                <w:lang w:eastAsia="zh-CN"/>
              </w:rPr>
              <w:t>。</w:t>
            </w:r>
          </w:p>
        </w:tc>
        <w:tc>
          <w:tcPr>
            <w:tcW w:w="4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both"/>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具有国家二级运动员及以上称号；</w:t>
            </w:r>
          </w:p>
          <w:p>
            <w:pPr>
              <w:widowControl/>
              <w:spacing w:line="560" w:lineRule="exact"/>
              <w:jc w:val="both"/>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w:t>
            </w: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rPr>
              <w:t>年以上带队</w:t>
            </w:r>
            <w:r>
              <w:rPr>
                <w:rFonts w:hint="eastAsia" w:ascii="仿宋_GB2312" w:hAnsi="仿宋_GB2312" w:eastAsia="仿宋_GB2312" w:cs="仿宋_GB2312"/>
                <w:color w:val="000000"/>
                <w:kern w:val="0"/>
                <w:sz w:val="24"/>
                <w:lang w:eastAsia="zh-CN"/>
              </w:rPr>
              <w:t>训练</w:t>
            </w:r>
            <w:r>
              <w:rPr>
                <w:rFonts w:hint="eastAsia" w:ascii="仿宋_GB2312" w:hAnsi="仿宋_GB2312" w:eastAsia="仿宋_GB2312" w:cs="仿宋_GB2312"/>
                <w:color w:val="000000"/>
                <w:kern w:val="0"/>
                <w:sz w:val="24"/>
              </w:rPr>
              <w:t>工作经验；</w:t>
            </w:r>
          </w:p>
          <w:p>
            <w:pPr>
              <w:widowControl/>
              <w:spacing w:line="560" w:lineRule="exact"/>
              <w:jc w:val="both"/>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w:t>
            </w:r>
            <w:r>
              <w:rPr>
                <w:rFonts w:hint="eastAsia" w:ascii="仿宋_GB2312" w:hAnsi="仿宋_GB2312" w:eastAsia="仿宋_GB2312" w:cs="仿宋_GB2312"/>
                <w:color w:val="000000"/>
                <w:kern w:val="0"/>
                <w:sz w:val="24"/>
                <w:lang w:val="en-US" w:eastAsia="zh-CN"/>
              </w:rPr>
              <w:t>1年以上</w:t>
            </w:r>
            <w:r>
              <w:rPr>
                <w:rFonts w:hint="eastAsia" w:ascii="仿宋_GB2312" w:hAnsi="仿宋_GB2312" w:eastAsia="仿宋_GB2312" w:cs="仿宋_GB2312"/>
                <w:color w:val="000000"/>
                <w:kern w:val="0"/>
                <w:sz w:val="24"/>
              </w:rPr>
              <w:t>带队参赛</w:t>
            </w:r>
            <w:r>
              <w:rPr>
                <w:rFonts w:hint="eastAsia" w:ascii="仿宋_GB2312" w:hAnsi="仿宋_GB2312" w:eastAsia="仿宋_GB2312" w:cs="仿宋_GB2312"/>
                <w:color w:val="000000"/>
                <w:kern w:val="0"/>
                <w:sz w:val="24"/>
                <w:lang w:eastAsia="zh-CN"/>
              </w:rPr>
              <w:t>工作</w:t>
            </w:r>
            <w:r>
              <w:rPr>
                <w:rFonts w:hint="eastAsia" w:ascii="仿宋_GB2312" w:hAnsi="仿宋_GB2312" w:eastAsia="仿宋_GB2312" w:cs="仿宋_GB2312"/>
                <w:color w:val="000000"/>
                <w:kern w:val="0"/>
                <w:sz w:val="24"/>
              </w:rPr>
              <w:t>经验；</w:t>
            </w:r>
          </w:p>
          <w:p>
            <w:pPr>
              <w:widowControl/>
              <w:spacing w:line="560" w:lineRule="exact"/>
              <w:jc w:val="both"/>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both"/>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2"/>
                <w:szCs w:val="22"/>
              </w:rPr>
              <w:t>4.</w:t>
            </w:r>
            <w:r>
              <w:rPr>
                <w:rFonts w:hint="eastAsia" w:ascii="仿宋_GB2312" w:hAnsi="仿宋_GB2312" w:eastAsia="仿宋_GB2312" w:cs="仿宋_GB2312"/>
                <w:color w:val="000000"/>
                <w:sz w:val="22"/>
                <w:szCs w:val="22"/>
              </w:rPr>
              <w:t>专科及以上学历。</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
                <w:color w:val="000000"/>
                <w:sz w:val="24"/>
              </w:rPr>
            </w:pPr>
          </w:p>
        </w:tc>
      </w:tr>
    </w:tbl>
    <w:p>
      <w:pPr>
        <w:pStyle w:val="2"/>
        <w:numPr>
          <w:ilvl w:val="0"/>
          <w:numId w:val="3"/>
        </w:numPr>
        <w:spacing w:before="0" w:after="0" w:line="560" w:lineRule="exact"/>
        <w:rPr>
          <w:rFonts w:ascii="楷体_GB2312" w:hAnsi="楷体_GB2312" w:eastAsia="楷体_GB2312" w:cs="楷体_GB2312"/>
        </w:rPr>
      </w:pPr>
      <w:r>
        <w:rPr>
          <w:rFonts w:hint="eastAsia" w:ascii="楷体_GB2312" w:hAnsi="楷体_GB2312" w:eastAsia="楷体_GB2312" w:cs="楷体_GB2312"/>
        </w:rPr>
        <w:t>安全保障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中标单位必须提供一份训练安全应急预案，以确保事故发生时能实施有效的急救措施。</w:t>
      </w:r>
    </w:p>
    <w:p>
      <w:pPr>
        <w:widowControl/>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中标单位必须为整个训练与培训周期制定周密训练与培训计划和详细的安全保障措施，并为所有在训在培的人员购买保险。</w:t>
      </w:r>
    </w:p>
    <w:p>
      <w:pPr>
        <w:pStyle w:val="7"/>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三、服务要求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（一）中标方负责做好相关考勤、教学进度推进工作、训练期间教练员及运动员上课安全工作，并每天向采购方汇报训练情况，保障项目正常有序开展。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定期接受光明区业余体育学校的训练与培训绩效考核，体校监管人员有权对训练与培训工作进行监管，如发现存在问题，中标单位须及时整改。</w:t>
      </w:r>
      <w:r>
        <w:rPr>
          <w:rFonts w:hint="eastAsia" w:ascii="仿宋_GB2312" w:hAnsi="仿宋_GB2312" w:eastAsia="仿宋_GB2312" w:cs="仿宋_GB2312"/>
          <w:color w:val="000000"/>
          <w:kern w:val="0"/>
          <w:sz w:val="32"/>
          <w:szCs w:val="32"/>
        </w:rPr>
        <w:t>项目实施过程中，不得以采购方名义开展其他无关活动或发布其他商业广告。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（二）中标方应严格按照光明区业余体育学校的规章制度。且培训期间，中标人应自觉遵章守纪，提供热情周到的服务并完成培训任务。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（三）中标方需指定专人负责本项目的培训工作并负责做好培训记录，且每周完成考勤情况汇报。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（四）中标方负责培训课程的编排并交由采购方确认且征得采购方同意后方可实施。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（五）中标方负责联系由采购方审定的教练团队并支付培训教练团队的费用。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（七）服务期间，未经采购方同意，中标方不得擅自停业或歇业。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（八）如在培训过程中与运动员或教练发生纠纷的，中标方应妥善处理并承坦赔偿责任和法律责任，由此产生的后果与采购方无关。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（九）采购方有权对中标人的培训情况进行监督检查，并对中标方在培训中的不良表现进行惩处。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（十）中标方须向采购方收整和提供培训期间的系列档案：包括培训管理团队人员的资质、</w:t>
      </w:r>
      <w:r>
        <w:rPr>
          <w:rFonts w:hint="eastAsia" w:ascii="仿宋_GB2312" w:hAnsi="仿宋_GB2312" w:eastAsia="仿宋_GB2312" w:cs="仿宋_GB2312"/>
          <w:sz w:val="32"/>
          <w:szCs w:val="32"/>
        </w:rPr>
        <w:t>训练与培训计划、教学教案（周、月、年）、运动员</w:t>
      </w:r>
      <w:r>
        <w:rPr>
          <w:rFonts w:hint="eastAsia" w:ascii="仿宋_GB2312" w:hAnsi="仿宋_GB2312" w:eastAsia="仿宋_GB2312" w:cs="仿宋_GB2312"/>
          <w:color w:val="000000"/>
          <w:kern w:val="0"/>
          <w:sz w:val="32"/>
          <w:szCs w:val="32"/>
        </w:rPr>
        <w:t>的出勤登记的相关资料等。</w:t>
      </w:r>
      <w:r>
        <w:rPr>
          <w:rFonts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管理人员须按要求按数量配置到位并提交人员的相关资料</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如人员身份证、毕业证等</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交由采购方备案。人员不得随意变动，如有人员变动（如人员辞职、调派或晋升等</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，中标方须及时告知采购方并在取得采购方的书面同意后在两周内补齐人员</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并将新补人员的相关资料</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如人员身份证、毕业证等</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交由采购方备案。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（三）投标方具备履行合同所必需的设备和专业技术能力的证明材料，须包含</w:t>
      </w:r>
      <w:r>
        <w:rPr>
          <w:rFonts w:hint="eastAsia" w:ascii="仿宋_GB2312" w:hAnsi="仿宋_GB2312" w:eastAsia="仿宋_GB2312" w:cs="仿宋_GB2312"/>
          <w:sz w:val="32"/>
          <w:szCs w:val="32"/>
          <w:lang w:eastAsia="zh-CN"/>
        </w:rPr>
        <w:t>“体育技能培训”或“业务培训”或“竞技体育科技服务”或“体育组织”</w:t>
      </w:r>
      <w:r>
        <w:rPr>
          <w:rFonts w:hint="eastAsia" w:ascii="仿宋_GB2312" w:hAnsi="仿宋_GB2312" w:eastAsia="仿宋_GB2312" w:cs="仿宋_GB2312"/>
          <w:sz w:val="32"/>
          <w:szCs w:val="32"/>
        </w:rPr>
        <w:t>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Pr>
          <w:rFonts w:hint="eastAsia" w:ascii="仿宋_GB2312" w:hAnsi="仿宋_GB2312" w:eastAsia="仿宋_GB2312" w:cs="仿宋_GB2312"/>
          <w:sz w:val="32"/>
          <w:szCs w:val="32"/>
        </w:rPr>
        <w:t>）；</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（一）服务期：自合同签订之日起，至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（二）服务地点：深圳市光明区华夏路群众体育中心综合训练馆（光明区业余体育学校）。</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本项目预算金额：</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万元，报价超过预算金额的视为无效响应。</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（四）付款方式：付款以实际课时数量按实结算，实报实销。最终实际支付费用不得超过签订合同费用。项目款项分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（五）验收要求：</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验收要求：培训课时量≧</w:t>
      </w:r>
      <w:r>
        <w:rPr>
          <w:rFonts w:ascii="仿宋_GB2312" w:hAnsi="仿宋_GB2312" w:eastAsia="仿宋_GB2312" w:cs="仿宋_GB2312"/>
          <w:color w:val="000000"/>
          <w:kern w:val="0"/>
          <w:sz w:val="32"/>
          <w:szCs w:val="32"/>
        </w:rPr>
        <w:t>570</w:t>
      </w:r>
      <w:r>
        <w:rPr>
          <w:rFonts w:hint="eastAsia" w:ascii="仿宋_GB2312" w:hAnsi="仿宋_GB2312" w:eastAsia="仿宋_GB2312" w:cs="仿宋_GB2312"/>
          <w:color w:val="000000"/>
          <w:kern w:val="0"/>
          <w:sz w:val="32"/>
          <w:szCs w:val="32"/>
        </w:rPr>
        <w:t>，教练员和运动员签到表、教练劳务费签领表、训练及培训照片（纸质资料须加盖投标方公章</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spacing w:line="560" w:lineRule="exact"/>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rPr>
        <w:rFonts w:cs="Times New Roman"/>
      </w:rPr>
    </w:lvl>
  </w:abstractNum>
  <w:abstractNum w:abstractNumId="1">
    <w:nsid w:val="620F8558"/>
    <w:multiLevelType w:val="singleLevel"/>
    <w:tmpl w:val="620F8558"/>
    <w:lvl w:ilvl="0" w:tentative="0">
      <w:start w:val="4"/>
      <w:numFmt w:val="chineseCounting"/>
      <w:suff w:val="nothing"/>
      <w:lvlText w:val="（%1）"/>
      <w:lvlJc w:val="left"/>
      <w:rPr>
        <w:rFonts w:cs="Times New Roman"/>
      </w:rPr>
    </w:lvl>
  </w:abstractNum>
  <w:abstractNum w:abstractNumId="2">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ED560D9"/>
    <w:rsid w:val="0004161F"/>
    <w:rsid w:val="000A46DA"/>
    <w:rsid w:val="000F7D23"/>
    <w:rsid w:val="001115CF"/>
    <w:rsid w:val="00167A43"/>
    <w:rsid w:val="00257182"/>
    <w:rsid w:val="002656F3"/>
    <w:rsid w:val="00267055"/>
    <w:rsid w:val="00282C2C"/>
    <w:rsid w:val="002B49A9"/>
    <w:rsid w:val="00320FE2"/>
    <w:rsid w:val="00373C83"/>
    <w:rsid w:val="00396DE6"/>
    <w:rsid w:val="003A1BD5"/>
    <w:rsid w:val="003B7680"/>
    <w:rsid w:val="003F2886"/>
    <w:rsid w:val="00425E40"/>
    <w:rsid w:val="00454F4B"/>
    <w:rsid w:val="004D6B88"/>
    <w:rsid w:val="004F3489"/>
    <w:rsid w:val="00502E50"/>
    <w:rsid w:val="00593EC3"/>
    <w:rsid w:val="005942FC"/>
    <w:rsid w:val="005973CB"/>
    <w:rsid w:val="005E294B"/>
    <w:rsid w:val="005F013F"/>
    <w:rsid w:val="00691A8A"/>
    <w:rsid w:val="006C03F5"/>
    <w:rsid w:val="006C3DDB"/>
    <w:rsid w:val="006C6DC8"/>
    <w:rsid w:val="006F4378"/>
    <w:rsid w:val="007540ED"/>
    <w:rsid w:val="00786C59"/>
    <w:rsid w:val="007A0B78"/>
    <w:rsid w:val="00810BFF"/>
    <w:rsid w:val="00884246"/>
    <w:rsid w:val="008A6B7C"/>
    <w:rsid w:val="008D4E98"/>
    <w:rsid w:val="008E6499"/>
    <w:rsid w:val="008F29F5"/>
    <w:rsid w:val="008F6100"/>
    <w:rsid w:val="00902C34"/>
    <w:rsid w:val="00970BAC"/>
    <w:rsid w:val="009931CD"/>
    <w:rsid w:val="009A6EF1"/>
    <w:rsid w:val="009B0D61"/>
    <w:rsid w:val="009D6CA3"/>
    <w:rsid w:val="00A439C0"/>
    <w:rsid w:val="00A81CB1"/>
    <w:rsid w:val="00A9389E"/>
    <w:rsid w:val="00AA6B5F"/>
    <w:rsid w:val="00AE36A1"/>
    <w:rsid w:val="00AF6241"/>
    <w:rsid w:val="00BC0361"/>
    <w:rsid w:val="00BF718F"/>
    <w:rsid w:val="00C66ECD"/>
    <w:rsid w:val="00CC0196"/>
    <w:rsid w:val="00CD6C55"/>
    <w:rsid w:val="00D54E3E"/>
    <w:rsid w:val="00D94A0E"/>
    <w:rsid w:val="00DA26F1"/>
    <w:rsid w:val="00DC6A31"/>
    <w:rsid w:val="00DD74E3"/>
    <w:rsid w:val="00E31808"/>
    <w:rsid w:val="00EA59D3"/>
    <w:rsid w:val="00EC1F43"/>
    <w:rsid w:val="00EC7CD0"/>
    <w:rsid w:val="00ED07F2"/>
    <w:rsid w:val="00EE2AEB"/>
    <w:rsid w:val="00F06ABE"/>
    <w:rsid w:val="00F40C6F"/>
    <w:rsid w:val="00F52384"/>
    <w:rsid w:val="00F52AB7"/>
    <w:rsid w:val="00F92A03"/>
    <w:rsid w:val="08F7258B"/>
    <w:rsid w:val="0C00063F"/>
    <w:rsid w:val="0F7F2041"/>
    <w:rsid w:val="1D1325EF"/>
    <w:rsid w:val="1ED560D9"/>
    <w:rsid w:val="2A8D6DCE"/>
    <w:rsid w:val="32627C94"/>
    <w:rsid w:val="33F939BF"/>
    <w:rsid w:val="46BF0E6B"/>
    <w:rsid w:val="56FD0B40"/>
    <w:rsid w:val="5DC9790E"/>
    <w:rsid w:val="5EBE7049"/>
    <w:rsid w:val="61BD3C45"/>
    <w:rsid w:val="75EA321D"/>
    <w:rsid w:val="7C064A70"/>
    <w:rsid w:val="7ED4CFC8"/>
    <w:rsid w:val="EDDFEC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character" w:customStyle="1" w:styleId="6">
    <w:name w:val="Heading 2 Char"/>
    <w:basedOn w:val="5"/>
    <w:link w:val="2"/>
    <w:semiHidden/>
    <w:qFormat/>
    <w:locked/>
    <w:uiPriority w:val="99"/>
    <w:rPr>
      <w:rFonts w:ascii="Cambria" w:hAnsi="Cambria" w:eastAsia="宋体" w:cs="Times New Roman"/>
      <w:b/>
      <w:bCs/>
      <w:sz w:val="32"/>
      <w:szCs w:val="32"/>
    </w:rPr>
  </w:style>
  <w:style w:type="paragraph" w:customStyle="1" w:styleId="7">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561</Words>
  <Characters>3203</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2022-02-19T09:54:00Z</dcterms:created>
  <dc:creator>Administrator</dc:creator>
  <cp:lastModifiedBy>huawei</cp:lastModifiedBy>
  <dcterms:modified xsi:type="dcterms:W3CDTF">2022-04-29T16:13:11Z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