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autoSpaceDE w:val="0"/>
        <w:autoSpaceDN w:val="0"/>
        <w:adjustRightInd w:val="0"/>
        <w:ind w:right="-20"/>
        <w:jc w:val="center"/>
        <w:rPr>
          <w:rFonts w:hint="eastAsia" w:ascii="黑体" w:hAnsi="Times New Roman" w:eastAsia="黑体" w:cs="黑体"/>
          <w:color w:val="000000"/>
          <w:kern w:val="0"/>
          <w:sz w:val="32"/>
          <w:szCs w:val="32"/>
        </w:rPr>
      </w:pPr>
      <w:r>
        <w:rPr>
          <w:rFonts w:hint="eastAsia" w:ascii="黑体" w:hAnsi="Times New Roman" w:eastAsia="黑体" w:cs="黑体"/>
          <w:color w:val="000000"/>
          <w:kern w:val="0"/>
          <w:sz w:val="32"/>
          <w:szCs w:val="32"/>
        </w:rPr>
        <w:t>光明区</w:t>
      </w:r>
      <w:r>
        <w:rPr>
          <w:rFonts w:hint="eastAsia" w:ascii="黑体" w:hAnsi="Times New Roman" w:eastAsia="黑体" w:cs="黑体"/>
          <w:color w:val="000000"/>
          <w:kern w:val="0"/>
          <w:sz w:val="32"/>
          <w:szCs w:val="32"/>
          <w:lang w:eastAsia="zh-CN"/>
        </w:rPr>
        <w:t>文化馆、图书馆红花山分馆</w:t>
      </w:r>
      <w:r>
        <w:rPr>
          <w:rFonts w:hint="eastAsia" w:ascii="黑体" w:hAnsi="Times New Roman" w:eastAsia="黑体" w:cs="黑体"/>
          <w:color w:val="000000"/>
          <w:kern w:val="0"/>
          <w:sz w:val="32"/>
          <w:szCs w:val="32"/>
        </w:rPr>
        <w:t>变配电房电气设备运维</w:t>
      </w:r>
    </w:p>
    <w:p>
      <w:pPr>
        <w:numPr>
          <w:ilvl w:val="-1"/>
          <w:numId w:val="0"/>
        </w:numPr>
        <w:autoSpaceDE w:val="0"/>
        <w:autoSpaceDN w:val="0"/>
        <w:adjustRightInd w:val="0"/>
        <w:ind w:right="-20"/>
        <w:jc w:val="center"/>
        <w:rPr>
          <w:rFonts w:hint="eastAsia" w:ascii="黑体" w:hAnsi="Times New Roman" w:eastAsia="黑体" w:cs="黑体"/>
          <w:color w:val="000000"/>
          <w:kern w:val="0"/>
          <w:sz w:val="32"/>
          <w:szCs w:val="32"/>
        </w:rPr>
      </w:pPr>
      <w:r>
        <w:rPr>
          <w:rFonts w:hint="eastAsia" w:ascii="黑体" w:hAnsi="Times New Roman" w:eastAsia="黑体" w:cs="黑体"/>
          <w:color w:val="000000"/>
          <w:kern w:val="0"/>
          <w:sz w:val="32"/>
          <w:szCs w:val="32"/>
        </w:rPr>
        <w:t>托管项目采购需求</w:t>
      </w:r>
    </w:p>
    <w:p>
      <w:pPr>
        <w:numPr>
          <w:ilvl w:val="-1"/>
          <w:numId w:val="0"/>
        </w:numPr>
        <w:autoSpaceDE w:val="0"/>
        <w:autoSpaceDN w:val="0"/>
        <w:adjustRightInd w:val="0"/>
        <w:ind w:left="0" w:right="-20"/>
        <w:jc w:val="left"/>
        <w:rPr>
          <w:rFonts w:hint="eastAsia" w:ascii="黑体" w:hAnsi="Times New Roman" w:eastAsia="黑体" w:cs="黑体"/>
          <w:color w:val="000000"/>
          <w:kern w:val="0"/>
          <w:sz w:val="32"/>
          <w:szCs w:val="32"/>
          <w:lang w:eastAsia="zh-CN"/>
        </w:rPr>
      </w:pPr>
      <w:r>
        <w:rPr>
          <w:rFonts w:hint="eastAsia" w:ascii="黑体" w:hAnsi="Times New Roman" w:eastAsia="黑体" w:cs="黑体"/>
          <w:color w:val="000000"/>
          <w:kern w:val="0"/>
          <w:sz w:val="24"/>
          <w:szCs w:val="32"/>
          <w:lang w:eastAsia="zh-CN"/>
        </w:rPr>
        <w:t>一、项目概况</w:t>
      </w:r>
    </w:p>
    <w:p>
      <w:pPr>
        <w:numPr>
          <w:ilvl w:val="0"/>
          <w:numId w:val="1"/>
        </w:numPr>
        <w:autoSpaceDE w:val="0"/>
        <w:autoSpaceDN w:val="0"/>
        <w:adjustRightInd w:val="0"/>
        <w:spacing w:before="35" w:line="317" w:lineRule="auto"/>
        <w:ind w:left="0" w:right="84" w:firstLine="488" w:firstLineChars="200"/>
        <w:jc w:val="left"/>
        <w:rPr>
          <w:rFonts w:hint="eastAsia" w:ascii="仿宋_GB2312" w:hAnsi="Times New Roman" w:eastAsia="仿宋_GB2312" w:cs="仿宋_GB2312"/>
          <w:color w:val="000000"/>
          <w:spacing w:val="2"/>
          <w:kern w:val="0"/>
          <w:sz w:val="24"/>
          <w:szCs w:val="24"/>
        </w:rPr>
      </w:pPr>
      <w:r>
        <w:rPr>
          <w:rFonts w:hint="eastAsia" w:ascii="仿宋_GB2312" w:hAnsi="Times New Roman" w:eastAsia="仿宋_GB2312" w:cs="仿宋_GB2312"/>
          <w:spacing w:val="2"/>
          <w:kern w:val="0"/>
          <w:sz w:val="24"/>
          <w:szCs w:val="24"/>
          <w:lang w:val="zh-CN"/>
        </w:rPr>
        <w:t>为进一步规范光明区政府机关事业单位用电安全工作，保障光明区公共文化艺术和体育中心下属场馆的光明区文化馆、图书馆红花山分馆（以下简称“两馆”）的日常用电可靠性，现决定对“两馆”的高低压电气设备进行维护托管。“两馆”的电气设备清单如下：</w:t>
      </w:r>
    </w:p>
    <w:p>
      <w:pPr>
        <w:autoSpaceDE w:val="0"/>
        <w:autoSpaceDN w:val="0"/>
        <w:adjustRightInd w:val="0"/>
        <w:spacing w:before="4" w:line="150" w:lineRule="exact"/>
        <w:jc w:val="left"/>
        <w:rPr>
          <w:rFonts w:ascii="黑体" w:hAnsi="Times New Roman" w:eastAsia="黑体" w:cs="黑体"/>
          <w:color w:val="000000"/>
          <w:kern w:val="0"/>
          <w:sz w:val="15"/>
          <w:szCs w:val="15"/>
        </w:rPr>
      </w:pPr>
    </w:p>
    <w:tbl>
      <w:tblPr>
        <w:tblStyle w:val="2"/>
        <w:tblpPr w:leftFromText="180" w:rightFromText="180" w:vertAnchor="text" w:horzAnchor="page" w:tblpX="2497" w:tblpY="79"/>
        <w:tblOverlap w:val="never"/>
        <w:tblW w:w="7590" w:type="dxa"/>
        <w:tblInd w:w="0" w:type="dxa"/>
        <w:tblLayout w:type="fixed"/>
        <w:tblCellMar>
          <w:top w:w="0" w:type="dxa"/>
          <w:left w:w="0" w:type="dxa"/>
          <w:bottom w:w="0" w:type="dxa"/>
          <w:right w:w="0" w:type="dxa"/>
        </w:tblCellMar>
      </w:tblPr>
      <w:tblGrid>
        <w:gridCol w:w="816"/>
        <w:gridCol w:w="1680"/>
        <w:gridCol w:w="1605"/>
        <w:gridCol w:w="2049"/>
        <w:gridCol w:w="1440"/>
      </w:tblGrid>
      <w:tr>
        <w:tblPrEx>
          <w:tblLayout w:type="fixed"/>
          <w:tblCellMar>
            <w:top w:w="0" w:type="dxa"/>
            <w:left w:w="0" w:type="dxa"/>
            <w:bottom w:w="0" w:type="dxa"/>
            <w:right w:w="0" w:type="dxa"/>
          </w:tblCellMar>
        </w:tblPrEx>
        <w:trPr>
          <w:trHeight w:val="780" w:hRule="atLeast"/>
        </w:trPr>
        <w:tc>
          <w:tcPr>
            <w:tcW w:w="7590" w:type="dxa"/>
            <w:gridSpan w:val="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lang w:eastAsia="zh-CN"/>
              </w:rPr>
              <w:t>“两馆”</w:t>
            </w:r>
            <w:r>
              <w:rPr>
                <w:rFonts w:hint="eastAsia" w:ascii="仿宋_GB2312" w:hAnsi="宋体" w:eastAsia="仿宋_GB2312" w:cs="宋体"/>
                <w:b/>
                <w:color w:val="000000"/>
                <w:kern w:val="0"/>
                <w:sz w:val="28"/>
                <w:szCs w:val="28"/>
              </w:rPr>
              <w:t>电气设备维保服务清单</w:t>
            </w:r>
          </w:p>
        </w:tc>
      </w:tr>
      <w:tr>
        <w:tblPrEx>
          <w:tblLayout w:type="fixed"/>
          <w:tblCellMar>
            <w:top w:w="0" w:type="dxa"/>
            <w:left w:w="0" w:type="dxa"/>
            <w:bottom w:w="0" w:type="dxa"/>
            <w:right w:w="0" w:type="dxa"/>
          </w:tblCellMar>
        </w:tblPrEx>
        <w:trPr>
          <w:trHeight w:val="4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设备类别</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计量单位</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备注</w:t>
            </w:r>
          </w:p>
        </w:tc>
      </w:tr>
      <w:tr>
        <w:tblPrEx>
          <w:tblLayout w:type="fixed"/>
          <w:tblCellMar>
            <w:top w:w="0" w:type="dxa"/>
            <w:left w:w="0" w:type="dxa"/>
            <w:bottom w:w="0" w:type="dxa"/>
            <w:right w:w="0" w:type="dxa"/>
          </w:tblCellMar>
        </w:tblPrEx>
        <w:trPr>
          <w:trHeight w:val="4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配电房</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个</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宋体"/>
                <w:color w:val="000000"/>
                <w:sz w:val="22"/>
              </w:rPr>
            </w:pPr>
          </w:p>
        </w:tc>
      </w:tr>
      <w:tr>
        <w:tblPrEx>
          <w:tblLayout w:type="fixed"/>
          <w:tblCellMar>
            <w:top w:w="0" w:type="dxa"/>
            <w:left w:w="0" w:type="dxa"/>
            <w:bottom w:w="0" w:type="dxa"/>
            <w:right w:w="0" w:type="dxa"/>
          </w:tblCellMar>
        </w:tblPrEx>
        <w:trPr>
          <w:trHeight w:val="4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高压柜</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面</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sz w:val="22"/>
                <w:lang w:val="en-US" w:eastAsia="zh-CN"/>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宋体"/>
                <w:color w:val="000000"/>
                <w:sz w:val="22"/>
              </w:rPr>
            </w:pPr>
          </w:p>
        </w:tc>
      </w:tr>
      <w:tr>
        <w:tblPrEx>
          <w:tblLayout w:type="fixed"/>
          <w:tblCellMar>
            <w:top w:w="0" w:type="dxa"/>
            <w:left w:w="0" w:type="dxa"/>
            <w:bottom w:w="0" w:type="dxa"/>
            <w:right w:w="0" w:type="dxa"/>
          </w:tblCellMar>
        </w:tblPrEx>
        <w:trPr>
          <w:trHeight w:val="4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低压柜</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面</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1</w:t>
            </w:r>
            <w:r>
              <w:rPr>
                <w:rFonts w:hint="eastAsia" w:ascii="仿宋_GB2312" w:hAnsi="宋体" w:eastAsia="仿宋_GB2312" w:cs="宋体"/>
                <w:color w:val="000000"/>
                <w:kern w:val="0"/>
                <w:sz w:val="22"/>
                <w:lang w:val="en-US" w:eastAsia="zh-CN"/>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宋体"/>
                <w:color w:val="000000"/>
                <w:sz w:val="22"/>
              </w:rPr>
            </w:pPr>
          </w:p>
        </w:tc>
      </w:tr>
      <w:tr>
        <w:tblPrEx>
          <w:tblLayout w:type="fixed"/>
          <w:tblCellMar>
            <w:top w:w="0" w:type="dxa"/>
            <w:left w:w="0" w:type="dxa"/>
            <w:bottom w:w="0" w:type="dxa"/>
            <w:right w:w="0" w:type="dxa"/>
          </w:tblCellMar>
        </w:tblPrEx>
        <w:trPr>
          <w:trHeight w:val="4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变压器</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台</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宋体"/>
                <w:color w:val="000000"/>
                <w:sz w:val="22"/>
              </w:rPr>
            </w:pPr>
            <w:r>
              <w:rPr>
                <w:rFonts w:hint="eastAsia" w:ascii="仿宋_GB2312" w:hAnsi="宋体" w:eastAsia="仿宋_GB2312" w:cs="宋体"/>
                <w:color w:val="000000"/>
                <w:sz w:val="22"/>
                <w:lang w:val="en-US" w:eastAsia="zh-CN"/>
              </w:rPr>
              <w:t>10</w:t>
            </w:r>
            <w:r>
              <w:rPr>
                <w:rFonts w:hint="eastAsia" w:ascii="仿宋_GB2312" w:hAnsi="宋体" w:eastAsia="仿宋_GB2312" w:cs="宋体"/>
                <w:color w:val="000000"/>
                <w:sz w:val="22"/>
              </w:rPr>
              <w:t>00kVA</w:t>
            </w:r>
          </w:p>
        </w:tc>
      </w:tr>
    </w:tbl>
    <w:p>
      <w:pPr>
        <w:autoSpaceDE w:val="0"/>
        <w:autoSpaceDN w:val="0"/>
        <w:adjustRightInd w:val="0"/>
        <w:spacing w:before="4" w:line="150" w:lineRule="exact"/>
        <w:jc w:val="left"/>
        <w:rPr>
          <w:rFonts w:ascii="仿宋_GB2312" w:hAnsi="Times New Roman" w:eastAsia="仿宋_GB2312" w:cs="黑体"/>
          <w:color w:val="000000"/>
          <w:kern w:val="0"/>
          <w:sz w:val="15"/>
          <w:szCs w:val="15"/>
        </w:rPr>
      </w:pPr>
    </w:p>
    <w:p>
      <w:pPr>
        <w:autoSpaceDE w:val="0"/>
        <w:autoSpaceDN w:val="0"/>
        <w:adjustRightInd w:val="0"/>
        <w:spacing w:before="35" w:line="317" w:lineRule="auto"/>
        <w:ind w:left="761" w:right="4177"/>
        <w:jc w:val="left"/>
        <w:rPr>
          <w:rFonts w:ascii="仿宋_GB2312" w:hAnsi="Times New Roman" w:eastAsia="仿宋_GB2312" w:cs="黑体"/>
          <w:kern w:val="0"/>
          <w:sz w:val="24"/>
          <w:szCs w:val="24"/>
        </w:rPr>
      </w:pPr>
      <w:r>
        <w:rPr>
          <w:rFonts w:hint="eastAsia" w:ascii="仿宋_GB2312" w:hAnsi="Times New Roman" w:eastAsia="仿宋_GB2312" w:cs="黑体"/>
          <w:kern w:val="0"/>
          <w:sz w:val="24"/>
          <w:szCs w:val="24"/>
        </w:rPr>
        <w:t>二、服务内容</w:t>
      </w:r>
    </w:p>
    <w:p>
      <w:pPr>
        <w:autoSpaceDE w:val="0"/>
        <w:autoSpaceDN w:val="0"/>
        <w:adjustRightInd w:val="0"/>
        <w:spacing w:before="35" w:line="317" w:lineRule="auto"/>
        <w:ind w:left="761" w:right="84"/>
        <w:jc w:val="left"/>
        <w:rPr>
          <w:rFonts w:ascii="仿宋_GB2312" w:hAnsi="Times New Roman" w:eastAsia="仿宋_GB2312" w:cs="仿宋_GB2312"/>
          <w:spacing w:val="2"/>
          <w:kern w:val="0"/>
          <w:sz w:val="24"/>
          <w:szCs w:val="24"/>
        </w:rPr>
      </w:pPr>
      <w:r>
        <w:rPr>
          <w:rFonts w:hint="eastAsia" w:ascii="仿宋_GB2312" w:hAnsi="Times New Roman" w:eastAsia="仿宋_GB2312" w:cs="仿宋_GB2312"/>
          <w:spacing w:val="2"/>
          <w:kern w:val="0"/>
          <w:sz w:val="24"/>
          <w:szCs w:val="24"/>
        </w:rPr>
        <w:t>1</w:t>
      </w:r>
    </w:p>
    <w:p>
      <w:pPr>
        <w:numPr>
          <w:ilvl w:val="-1"/>
          <w:numId w:val="0"/>
        </w:numPr>
        <w:autoSpaceDE w:val="0"/>
        <w:autoSpaceDN w:val="0"/>
        <w:adjustRightInd w:val="0"/>
        <w:spacing w:before="35" w:line="317" w:lineRule="auto"/>
        <w:ind w:left="0" w:right="4177" w:firstLine="0"/>
        <w:jc w:val="left"/>
        <w:rPr>
          <w:rFonts w:hint="eastAsia" w:ascii="黑体" w:hAnsi="Times New Roman" w:eastAsia="黑体" w:cs="黑体"/>
          <w:kern w:val="0"/>
          <w:sz w:val="24"/>
          <w:szCs w:val="24"/>
          <w:lang w:eastAsia="zh-CN"/>
        </w:rPr>
      </w:pPr>
      <w:r>
        <w:rPr>
          <w:rFonts w:hint="eastAsia" w:ascii="黑体" w:hAnsi="Times New Roman" w:eastAsia="黑体" w:cs="黑体"/>
          <w:kern w:val="0"/>
          <w:sz w:val="24"/>
          <w:szCs w:val="24"/>
          <w:lang w:eastAsia="zh-CN"/>
        </w:rPr>
        <w:t>二、</w:t>
      </w:r>
      <w:r>
        <w:rPr>
          <w:rFonts w:hint="eastAsia" w:ascii="黑体" w:hAnsi="Times New Roman" w:eastAsia="黑体" w:cs="黑体"/>
          <w:kern w:val="0"/>
          <w:sz w:val="24"/>
          <w:szCs w:val="24"/>
        </w:rPr>
        <w:t>服务</w:t>
      </w:r>
      <w:r>
        <w:rPr>
          <w:rFonts w:hint="eastAsia" w:ascii="黑体" w:hAnsi="Times New Roman" w:eastAsia="黑体" w:cs="黑体"/>
          <w:kern w:val="0"/>
          <w:sz w:val="24"/>
          <w:szCs w:val="24"/>
          <w:lang w:eastAsia="zh-CN"/>
        </w:rPr>
        <w:t>需求</w:t>
      </w:r>
    </w:p>
    <w:p>
      <w:pPr>
        <w:autoSpaceDE w:val="0"/>
        <w:autoSpaceDN w:val="0"/>
        <w:adjustRightInd w:val="0"/>
        <w:spacing w:before="35" w:after="0" w:line="317" w:lineRule="auto"/>
        <w:ind w:left="0" w:right="84" w:firstLine="0" w:firstLineChars="0"/>
        <w:jc w:val="left"/>
        <w:rPr>
          <w:rFonts w:hint="eastAsia" w:ascii="仿宋_GB2312" w:hAnsi="Times New Roman" w:eastAsia="仿宋_GB2312" w:cs="仿宋_GB2312"/>
          <w:b/>
          <w:bCs/>
          <w:color w:val="auto"/>
          <w:spacing w:val="2"/>
          <w:kern w:val="0"/>
          <w:sz w:val="24"/>
          <w:szCs w:val="24"/>
          <w:lang w:val="zh-CN"/>
        </w:rPr>
      </w:pPr>
      <w:r>
        <w:rPr>
          <w:rFonts w:hint="eastAsia" w:ascii="仿宋_GB2312" w:hAnsi="Times New Roman" w:eastAsia="仿宋_GB2312" w:cs="仿宋_GB2312"/>
          <w:b/>
          <w:bCs/>
          <w:spacing w:val="2"/>
          <w:kern w:val="0"/>
          <w:sz w:val="24"/>
          <w:szCs w:val="24"/>
          <w:lang w:val="zh-CN"/>
        </w:rPr>
        <w:t>（一）</w:t>
      </w:r>
      <w:r>
        <w:rPr>
          <w:rFonts w:hint="eastAsia" w:ascii="仿宋_GB2312" w:hAnsi="Times New Roman" w:eastAsia="仿宋_GB2312" w:cs="仿宋_GB2312"/>
          <w:b/>
          <w:bCs/>
          <w:color w:val="auto"/>
          <w:spacing w:val="2"/>
          <w:kern w:val="0"/>
          <w:sz w:val="24"/>
          <w:szCs w:val="24"/>
          <w:lang w:val="zh-CN"/>
        </w:rPr>
        <w:t>服务范围</w:t>
      </w:r>
    </w:p>
    <w:p>
      <w:pPr>
        <w:autoSpaceDE w:val="0"/>
        <w:autoSpaceDN w:val="0"/>
        <w:adjustRightInd w:val="0"/>
        <w:spacing w:before="35" w:line="317" w:lineRule="auto"/>
        <w:ind w:left="0" w:right="84" w:firstLine="488" w:firstLineChars="200"/>
        <w:jc w:val="left"/>
        <w:rPr>
          <w:rFonts w:hint="eastAsia" w:ascii="仿宋_GB2312" w:hAnsi="Times New Roman" w:eastAsia="仿宋_GB2312" w:cs="仿宋_GB2312"/>
          <w:spacing w:val="2"/>
          <w:kern w:val="0"/>
          <w:sz w:val="24"/>
          <w:szCs w:val="24"/>
          <w:lang w:eastAsia="zh-CN"/>
        </w:rPr>
      </w:pPr>
      <w:r>
        <w:rPr>
          <w:rFonts w:hint="eastAsia" w:ascii="仿宋_GB2312" w:hAnsi="Times New Roman" w:eastAsia="仿宋_GB2312" w:cs="仿宋_GB2312"/>
          <w:bCs w:val="0"/>
          <w:color w:val="auto"/>
          <w:spacing w:val="2"/>
          <w:kern w:val="0"/>
          <w:sz w:val="24"/>
          <w:szCs w:val="24"/>
        </w:rPr>
        <w:t>对</w:t>
      </w:r>
      <w:r>
        <w:rPr>
          <w:rFonts w:hint="eastAsia" w:ascii="仿宋_GB2312" w:hAnsi="Times New Roman" w:eastAsia="仿宋_GB2312" w:cs="仿宋_GB2312"/>
          <w:spacing w:val="2"/>
          <w:kern w:val="0"/>
          <w:sz w:val="24"/>
          <w:szCs w:val="24"/>
          <w:lang w:val="zh-CN"/>
        </w:rPr>
        <w:t>“两馆”</w:t>
      </w:r>
      <w:r>
        <w:rPr>
          <w:rFonts w:hint="eastAsia" w:ascii="仿宋_GB2312" w:hAnsi="Times New Roman" w:eastAsia="仿宋_GB2312" w:cs="仿宋_GB2312"/>
          <w:bCs w:val="0"/>
          <w:color w:val="auto"/>
          <w:spacing w:val="2"/>
          <w:kern w:val="0"/>
          <w:sz w:val="24"/>
          <w:szCs w:val="24"/>
        </w:rPr>
        <w:t>配电房电气设备进行线下日常巡检维护及线上智慧监测服务，其中线下日常巡检维护包括配电房环境、高压配电柜、变压器、低压配电柜；线上智慧监测服务包括数据监测（对变压器、进出线的电压、电流、电度记录，设备本体、连接头温度测量），智慧电能质量监测（电气监测、设备状态监测、环境安防监测、视频监测），提供月度运维报告，应急抢修，年度保养及变压器预防性试验等服务。</w:t>
      </w:r>
    </w:p>
    <w:p>
      <w:pPr>
        <w:autoSpaceDE w:val="0"/>
        <w:autoSpaceDN w:val="0"/>
        <w:adjustRightInd w:val="0"/>
        <w:spacing w:before="35" w:after="0" w:line="317" w:lineRule="auto"/>
        <w:ind w:left="0" w:right="84" w:firstLine="0" w:firstLineChars="0"/>
        <w:jc w:val="left"/>
        <w:rPr>
          <w:rFonts w:hint="eastAsia" w:ascii="仿宋_GB2312" w:hAnsi="Times New Roman" w:eastAsia="仿宋_GB2312" w:cs="仿宋_GB2312"/>
          <w:b/>
          <w:bCs/>
          <w:color w:val="auto"/>
          <w:spacing w:val="2"/>
          <w:kern w:val="0"/>
          <w:sz w:val="24"/>
          <w:szCs w:val="24"/>
          <w:lang w:val="zh-CN"/>
        </w:rPr>
      </w:pPr>
      <w:r>
        <w:rPr>
          <w:rFonts w:hint="eastAsia" w:ascii="仿宋_GB2312" w:hAnsi="Times New Roman" w:eastAsia="仿宋_GB2312" w:cs="仿宋_GB2312"/>
          <w:b/>
          <w:bCs/>
          <w:color w:val="auto"/>
          <w:spacing w:val="2"/>
          <w:kern w:val="0"/>
          <w:sz w:val="24"/>
          <w:szCs w:val="24"/>
          <w:lang w:val="zh-CN"/>
        </w:rPr>
        <w:t>（二）服务内容</w:t>
      </w:r>
    </w:p>
    <w:p>
      <w:pPr>
        <w:autoSpaceDE w:val="0"/>
        <w:autoSpaceDN w:val="0"/>
        <w:adjustRightInd w:val="0"/>
        <w:spacing w:before="35" w:line="317" w:lineRule="auto"/>
        <w:ind w:left="0" w:right="84" w:firstLine="0" w:firstLineChars="0"/>
        <w:jc w:val="left"/>
        <w:rPr>
          <w:rFonts w:hint="eastAsia" w:ascii="仿宋_GB2312" w:hAnsi="Times New Roman" w:eastAsia="仿宋_GB2312" w:cs="仿宋_GB2312"/>
          <w:spacing w:val="2"/>
          <w:kern w:val="0"/>
          <w:sz w:val="24"/>
          <w:szCs w:val="24"/>
          <w:lang w:val="zh-CN"/>
        </w:rPr>
      </w:pPr>
      <w:r>
        <w:rPr>
          <w:rFonts w:hint="eastAsia" w:ascii="仿宋_GB2312" w:hAnsi="Times New Roman" w:eastAsia="仿宋_GB2312" w:cs="仿宋_GB2312"/>
          <w:spacing w:val="2"/>
          <w:kern w:val="0"/>
          <w:sz w:val="24"/>
          <w:szCs w:val="24"/>
          <w:lang w:val="zh-CN"/>
        </w:rPr>
        <w:t>1、定期巡检：日常巡检维护的服务周期为一周一次，每月对“两馆”的电气设备（专用变压器、高压柜、低压柜）进行维护保养。</w:t>
      </w:r>
      <w:r>
        <w:rPr>
          <w:rFonts w:hint="eastAsia" w:ascii="仿宋_GB2312" w:hAnsi="Times New Roman" w:eastAsia="仿宋_GB2312" w:cs="仿宋_GB2312"/>
          <w:spacing w:val="2"/>
          <w:kern w:val="0"/>
          <w:sz w:val="24"/>
          <w:szCs w:val="24"/>
          <w:lang w:val="zh-CN"/>
        </w:rPr>
        <w:cr/>
      </w:r>
      <w:r>
        <w:rPr>
          <w:rFonts w:hint="eastAsia" w:ascii="仿宋_GB2312" w:hAnsi="Times New Roman" w:eastAsia="仿宋_GB2312" w:cs="仿宋_GB2312"/>
          <w:spacing w:val="2"/>
          <w:kern w:val="0"/>
          <w:sz w:val="24"/>
          <w:szCs w:val="24"/>
          <w:lang w:val="en-US" w:eastAsia="zh-CN"/>
        </w:rPr>
        <w:t>2</w:t>
      </w:r>
      <w:r>
        <w:rPr>
          <w:rFonts w:hint="eastAsia" w:ascii="仿宋_GB2312" w:hAnsi="Times New Roman" w:eastAsia="仿宋_GB2312" w:cs="仿宋_GB2312"/>
          <w:spacing w:val="2"/>
          <w:kern w:val="0"/>
          <w:sz w:val="24"/>
          <w:szCs w:val="24"/>
          <w:lang w:val="zh-CN"/>
        </w:rPr>
        <w:t>、年度大检：每年对配电房内高压设备进行一次大检，大检内容包括变压器的预防性试验和维护保养，具体停电时间由用户确定协调，完成后出具试验报告及维护建议。</w:t>
      </w:r>
      <w:r>
        <w:rPr>
          <w:rFonts w:hint="eastAsia" w:ascii="仿宋_GB2312" w:hAnsi="Times New Roman" w:eastAsia="仿宋_GB2312" w:cs="仿宋_GB2312"/>
          <w:spacing w:val="2"/>
          <w:kern w:val="0"/>
          <w:sz w:val="24"/>
          <w:szCs w:val="24"/>
          <w:lang w:val="zh-CN"/>
        </w:rPr>
        <w:cr/>
      </w:r>
      <w:r>
        <w:rPr>
          <w:rFonts w:hint="eastAsia" w:ascii="仿宋_GB2312" w:hAnsi="Times New Roman" w:eastAsia="仿宋_GB2312" w:cs="仿宋_GB2312"/>
          <w:spacing w:val="2"/>
          <w:kern w:val="0"/>
          <w:sz w:val="24"/>
          <w:szCs w:val="24"/>
          <w:lang w:val="en-US" w:eastAsia="zh-CN"/>
        </w:rPr>
        <w:t>3</w:t>
      </w:r>
      <w:r>
        <w:rPr>
          <w:rFonts w:hint="eastAsia" w:ascii="仿宋_GB2312" w:hAnsi="Times New Roman" w:eastAsia="仿宋_GB2312" w:cs="仿宋_GB2312"/>
          <w:spacing w:val="2"/>
          <w:kern w:val="0"/>
          <w:sz w:val="24"/>
          <w:szCs w:val="24"/>
          <w:lang w:val="zh-CN"/>
        </w:rPr>
        <w:t>、指导用户消除电气设备安全隐患。</w:t>
      </w:r>
      <w:r>
        <w:rPr>
          <w:rFonts w:hint="eastAsia" w:ascii="仿宋_GB2312" w:hAnsi="Times New Roman" w:eastAsia="仿宋_GB2312" w:cs="仿宋_GB2312"/>
          <w:spacing w:val="2"/>
          <w:kern w:val="0"/>
          <w:sz w:val="24"/>
          <w:szCs w:val="24"/>
          <w:lang w:val="zh-CN"/>
        </w:rPr>
        <w:cr/>
      </w:r>
      <w:r>
        <w:rPr>
          <w:rFonts w:hint="eastAsia" w:ascii="仿宋_GB2312" w:hAnsi="Times New Roman" w:eastAsia="仿宋_GB2312" w:cs="仿宋_GB2312"/>
          <w:spacing w:val="2"/>
          <w:kern w:val="0"/>
          <w:sz w:val="24"/>
          <w:szCs w:val="24"/>
          <w:lang w:val="en-US" w:eastAsia="zh-CN"/>
        </w:rPr>
        <w:t>4</w:t>
      </w:r>
      <w:r>
        <w:rPr>
          <w:rFonts w:hint="eastAsia" w:ascii="仿宋_GB2312" w:hAnsi="Times New Roman" w:eastAsia="仿宋_GB2312" w:cs="仿宋_GB2312"/>
          <w:spacing w:val="2"/>
          <w:kern w:val="0"/>
          <w:sz w:val="24"/>
          <w:szCs w:val="24"/>
          <w:lang w:val="zh-CN"/>
        </w:rPr>
        <w:t>、数据监测：对变压器、进出线的电压、电流、电度记录，设备本体、连接头温度测量。</w:t>
      </w:r>
      <w:r>
        <w:rPr>
          <w:rFonts w:hint="eastAsia" w:ascii="仿宋_GB2312" w:hAnsi="Times New Roman" w:eastAsia="仿宋_GB2312" w:cs="仿宋_GB2312"/>
          <w:spacing w:val="2"/>
          <w:kern w:val="0"/>
          <w:sz w:val="24"/>
          <w:szCs w:val="24"/>
          <w:lang w:val="zh-CN"/>
        </w:rPr>
        <w:cr/>
      </w:r>
      <w:r>
        <w:rPr>
          <w:rFonts w:hint="eastAsia" w:ascii="仿宋_GB2312" w:hAnsi="Times New Roman" w:eastAsia="仿宋_GB2312" w:cs="仿宋_GB2312"/>
          <w:spacing w:val="2"/>
          <w:kern w:val="0"/>
          <w:sz w:val="24"/>
          <w:szCs w:val="24"/>
          <w:lang w:val="en-US" w:eastAsia="zh-CN"/>
        </w:rPr>
        <w:t>5</w:t>
      </w:r>
      <w:r>
        <w:rPr>
          <w:rFonts w:hint="eastAsia" w:ascii="仿宋_GB2312" w:hAnsi="Times New Roman" w:eastAsia="仿宋_GB2312" w:cs="仿宋_GB2312"/>
          <w:spacing w:val="2"/>
          <w:kern w:val="0"/>
          <w:sz w:val="24"/>
          <w:szCs w:val="24"/>
          <w:lang w:val="zh-CN"/>
        </w:rPr>
        <w:t>、智慧电能质量监测：电气监测、设备状态监测、环境安防监测（包含水泵房</w:t>
      </w:r>
      <w:r>
        <w:rPr>
          <w:rFonts w:hint="eastAsia" w:ascii="宋体" w:hAnsi="宋体" w:cs="宋体"/>
          <w:color w:val="000000" w:themeColor="text1"/>
          <w:kern w:val="0"/>
          <w:sz w:val="24"/>
          <w14:textFill>
            <w14:solidFill>
              <w14:schemeClr w14:val="tx1"/>
            </w14:solidFill>
          </w14:textFill>
        </w:rPr>
        <w:t>24</w:t>
      </w:r>
      <w:r>
        <w:rPr>
          <w:rFonts w:hint="eastAsia" w:ascii="仿宋_GB2312" w:hAnsi="Times New Roman" w:eastAsia="仿宋_GB2312" w:cs="仿宋_GB2312"/>
          <w:spacing w:val="2"/>
          <w:kern w:val="0"/>
          <w:sz w:val="24"/>
          <w:szCs w:val="24"/>
          <w:lang w:val="zh-CN"/>
        </w:rPr>
        <w:t>小时水侵预警监测）、视频监测。</w:t>
      </w:r>
      <w:r>
        <w:rPr>
          <w:rFonts w:hint="eastAsia" w:ascii="仿宋_GB2312" w:hAnsi="Times New Roman" w:eastAsia="仿宋_GB2312" w:cs="仿宋_GB2312"/>
          <w:spacing w:val="2"/>
          <w:kern w:val="0"/>
          <w:sz w:val="24"/>
          <w:szCs w:val="24"/>
          <w:lang w:val="zh-CN"/>
        </w:rPr>
        <w:cr/>
      </w:r>
      <w:r>
        <w:rPr>
          <w:rFonts w:hint="eastAsia" w:ascii="仿宋_GB2312" w:hAnsi="Times New Roman" w:eastAsia="仿宋_GB2312" w:cs="仿宋_GB2312"/>
          <w:spacing w:val="2"/>
          <w:kern w:val="0"/>
          <w:sz w:val="24"/>
          <w:szCs w:val="24"/>
          <w:lang w:val="en-US" w:eastAsia="zh-CN"/>
        </w:rPr>
        <w:t>6</w:t>
      </w:r>
      <w:r>
        <w:rPr>
          <w:rFonts w:hint="eastAsia" w:ascii="仿宋_GB2312" w:hAnsi="Times New Roman" w:eastAsia="仿宋_GB2312" w:cs="仿宋_GB2312"/>
          <w:spacing w:val="2"/>
          <w:kern w:val="0"/>
          <w:sz w:val="24"/>
          <w:szCs w:val="24"/>
          <w:lang w:val="zh-CN"/>
        </w:rPr>
        <w:t>、提供月度运维报告：提供设备运行状态、负荷情况、缺陷记录、维保内容、事故事件、分析建议等。</w:t>
      </w:r>
      <w:r>
        <w:rPr>
          <w:rFonts w:hint="eastAsia" w:ascii="仿宋_GB2312" w:hAnsi="Times New Roman" w:eastAsia="仿宋_GB2312" w:cs="仿宋_GB2312"/>
          <w:spacing w:val="2"/>
          <w:kern w:val="0"/>
          <w:sz w:val="24"/>
          <w:szCs w:val="24"/>
          <w:lang w:val="zh-CN"/>
        </w:rPr>
        <w:cr/>
      </w:r>
      <w:r>
        <w:rPr>
          <w:rFonts w:hint="eastAsia" w:ascii="仿宋_GB2312" w:hAnsi="Times New Roman" w:eastAsia="仿宋_GB2312" w:cs="仿宋_GB2312"/>
          <w:spacing w:val="2"/>
          <w:kern w:val="0"/>
          <w:sz w:val="24"/>
          <w:szCs w:val="24"/>
          <w:lang w:val="en-US" w:eastAsia="zh-CN"/>
        </w:rPr>
        <w:t>7</w:t>
      </w:r>
      <w:r>
        <w:rPr>
          <w:rFonts w:hint="eastAsia" w:ascii="仿宋_GB2312" w:hAnsi="Times New Roman" w:eastAsia="仿宋_GB2312" w:cs="仿宋_GB2312"/>
          <w:spacing w:val="2"/>
          <w:kern w:val="0"/>
          <w:sz w:val="24"/>
          <w:szCs w:val="24"/>
          <w:lang w:val="zh-CN"/>
        </w:rPr>
        <w:t>、应急抢修：全天候24小时应急抢修服务，</w:t>
      </w:r>
      <w:r>
        <w:rPr>
          <w:rFonts w:hint="eastAsia" w:ascii="仿宋_GB2312" w:hAnsi="Times New Roman" w:eastAsia="仿宋_GB2312" w:cs="仿宋_GB2312"/>
          <w:spacing w:val="2"/>
          <w:kern w:val="0"/>
          <w:sz w:val="24"/>
          <w:szCs w:val="24"/>
          <w:lang w:val="en-US" w:eastAsia="zh-CN"/>
        </w:rPr>
        <w:t>30</w:t>
      </w:r>
      <w:r>
        <w:rPr>
          <w:rFonts w:hint="eastAsia" w:ascii="仿宋_GB2312" w:hAnsi="Times New Roman" w:eastAsia="仿宋_GB2312" w:cs="仿宋_GB2312"/>
          <w:spacing w:val="2"/>
          <w:kern w:val="0"/>
          <w:sz w:val="24"/>
          <w:szCs w:val="24"/>
          <w:lang w:val="zh-CN"/>
        </w:rPr>
        <w:t>分钟之内到达现场。</w:t>
      </w:r>
    </w:p>
    <w:p>
      <w:pPr>
        <w:autoSpaceDE w:val="0"/>
        <w:autoSpaceDN w:val="0"/>
        <w:adjustRightInd w:val="0"/>
        <w:spacing w:before="35" w:line="317" w:lineRule="auto"/>
        <w:ind w:left="0" w:right="84" w:firstLine="0" w:firstLineChars="0"/>
        <w:jc w:val="left"/>
        <w:rPr>
          <w:rFonts w:hint="eastAsia" w:ascii="仿宋_GB2312" w:hAnsi="Times New Roman" w:eastAsia="仿宋_GB2312" w:cs="仿宋_GB2312"/>
          <w:b/>
          <w:bCs/>
          <w:spacing w:val="2"/>
          <w:kern w:val="0"/>
          <w:sz w:val="24"/>
          <w:szCs w:val="24"/>
          <w:lang w:val="zh-CN"/>
        </w:rPr>
      </w:pPr>
      <w:r>
        <w:rPr>
          <w:rFonts w:hint="eastAsia" w:ascii="仿宋_GB2312" w:hAnsi="Times New Roman" w:eastAsia="仿宋_GB2312" w:cs="仿宋_GB2312"/>
          <w:b/>
          <w:bCs/>
          <w:spacing w:val="2"/>
          <w:kern w:val="0"/>
          <w:sz w:val="24"/>
          <w:szCs w:val="24"/>
          <w:lang w:val="zh-CN"/>
        </w:rPr>
        <w:t>（三）服务期限</w:t>
      </w:r>
    </w:p>
    <w:p>
      <w:pPr>
        <w:autoSpaceDE w:val="0"/>
        <w:autoSpaceDN w:val="0"/>
        <w:adjustRightInd w:val="0"/>
        <w:spacing w:before="35" w:line="317" w:lineRule="auto"/>
        <w:ind w:left="0" w:right="84" w:firstLine="488" w:firstLineChars="200"/>
        <w:jc w:val="left"/>
        <w:rPr>
          <w:rFonts w:hint="eastAsia" w:ascii="仿宋_GB2312" w:hAnsi="Times New Roman" w:eastAsia="仿宋_GB2312" w:cs="仿宋_GB2312"/>
          <w:bCs w:val="0"/>
          <w:spacing w:val="2"/>
          <w:kern w:val="0"/>
          <w:sz w:val="24"/>
          <w:szCs w:val="24"/>
          <w:lang w:val="zh-CN"/>
        </w:rPr>
      </w:pPr>
      <w:r>
        <w:rPr>
          <w:rFonts w:hint="eastAsia" w:ascii="仿宋_GB2312" w:hAnsi="Times New Roman" w:eastAsia="仿宋_GB2312" w:cs="仿宋_GB2312"/>
          <w:bCs w:val="0"/>
          <w:spacing w:val="2"/>
          <w:kern w:val="0"/>
          <w:sz w:val="24"/>
          <w:szCs w:val="24"/>
          <w:lang w:val="zh-CN"/>
        </w:rPr>
        <w:t>本项目服务期限为自合同签订之日起一年。</w:t>
      </w:r>
    </w:p>
    <w:p>
      <w:pPr>
        <w:autoSpaceDE w:val="0"/>
        <w:autoSpaceDN w:val="0"/>
        <w:adjustRightInd w:val="0"/>
        <w:spacing w:before="35" w:line="317" w:lineRule="auto"/>
        <w:ind w:left="0" w:right="84" w:firstLine="0" w:firstLineChars="0"/>
        <w:jc w:val="left"/>
        <w:rPr>
          <w:rFonts w:hint="eastAsia" w:ascii="仿宋_GB2312" w:hAnsi="Times New Roman" w:eastAsia="仿宋_GB2312" w:cs="仿宋_GB2312"/>
          <w:b/>
          <w:bCs/>
          <w:spacing w:val="2"/>
          <w:kern w:val="0"/>
          <w:sz w:val="24"/>
          <w:szCs w:val="24"/>
          <w:lang w:val="zh-CN"/>
        </w:rPr>
      </w:pPr>
      <w:r>
        <w:rPr>
          <w:rFonts w:hint="eastAsia" w:ascii="仿宋_GB2312" w:hAnsi="Times New Roman" w:eastAsia="仿宋_GB2312" w:cs="仿宋_GB2312"/>
          <w:b/>
          <w:bCs/>
          <w:spacing w:val="2"/>
          <w:kern w:val="0"/>
          <w:sz w:val="24"/>
          <w:szCs w:val="24"/>
          <w:lang w:val="zh-CN"/>
        </w:rPr>
        <w:t>（四）投入设施及拟派团队成员要求</w:t>
      </w:r>
    </w:p>
    <w:p>
      <w:pPr>
        <w:autoSpaceDE w:val="0"/>
        <w:autoSpaceDN w:val="0"/>
        <w:adjustRightInd w:val="0"/>
        <w:spacing w:before="35" w:line="317" w:lineRule="auto"/>
        <w:ind w:right="84" w:firstLine="0" w:firstLineChars="0"/>
        <w:jc w:val="left"/>
        <w:rPr>
          <w:rFonts w:hint="eastAsia" w:ascii="仿宋_GB2312" w:hAnsi="Times New Roman" w:eastAsia="仿宋_GB2312" w:cs="仿宋_GB2312"/>
          <w:spacing w:val="2"/>
          <w:kern w:val="0"/>
          <w:sz w:val="24"/>
          <w:szCs w:val="24"/>
          <w:lang w:val="zh-CN"/>
        </w:rPr>
      </w:pPr>
      <w:r>
        <w:rPr>
          <w:rFonts w:hint="eastAsia" w:ascii="仿宋_GB2312" w:hAnsi="Times New Roman" w:eastAsia="仿宋_GB2312" w:cs="仿宋_GB2312"/>
          <w:spacing w:val="2"/>
          <w:kern w:val="0"/>
          <w:sz w:val="24"/>
          <w:szCs w:val="24"/>
          <w:lang w:val="zh-CN"/>
        </w:rPr>
        <w:t>1.具有固定的营业场所；</w:t>
      </w:r>
    </w:p>
    <w:p>
      <w:pPr>
        <w:autoSpaceDE w:val="0"/>
        <w:autoSpaceDN w:val="0"/>
        <w:adjustRightInd w:val="0"/>
        <w:spacing w:before="35" w:line="317" w:lineRule="auto"/>
        <w:ind w:right="84" w:firstLine="0" w:firstLineChars="0"/>
        <w:jc w:val="left"/>
        <w:rPr>
          <w:rFonts w:hint="eastAsia" w:ascii="仿宋_GB2312" w:hAnsi="Times New Roman" w:eastAsia="仿宋_GB2312" w:cs="仿宋_GB2312"/>
          <w:spacing w:val="2"/>
          <w:kern w:val="0"/>
          <w:sz w:val="24"/>
          <w:szCs w:val="24"/>
          <w:lang w:val="zh-CN"/>
        </w:rPr>
      </w:pPr>
      <w:r>
        <w:rPr>
          <w:rFonts w:hint="eastAsia" w:ascii="仿宋_GB2312" w:hAnsi="Times New Roman" w:eastAsia="仿宋_GB2312" w:cs="仿宋_GB2312"/>
          <w:spacing w:val="2"/>
          <w:kern w:val="0"/>
          <w:sz w:val="24"/>
          <w:szCs w:val="24"/>
          <w:lang w:val="zh-CN"/>
        </w:rPr>
        <w:t>2.配备完善的办公硬件设施;</w:t>
      </w:r>
    </w:p>
    <w:p>
      <w:pPr>
        <w:autoSpaceDE w:val="0"/>
        <w:autoSpaceDN w:val="0"/>
        <w:adjustRightInd w:val="0"/>
        <w:spacing w:before="35" w:line="317" w:lineRule="auto"/>
        <w:ind w:left="0" w:right="84" w:firstLine="0" w:firstLineChars="0"/>
        <w:jc w:val="left"/>
        <w:rPr>
          <w:rFonts w:hint="eastAsia" w:ascii="仿宋_GB2312" w:hAnsi="Times New Roman" w:eastAsia="仿宋_GB2312" w:cs="仿宋_GB2312"/>
          <w:spacing w:val="2"/>
          <w:kern w:val="0"/>
          <w:sz w:val="24"/>
          <w:szCs w:val="24"/>
          <w:lang w:val="zh-CN"/>
        </w:rPr>
      </w:pPr>
      <w:r>
        <w:rPr>
          <w:rFonts w:hint="eastAsia" w:ascii="仿宋_GB2312" w:hAnsi="Times New Roman" w:eastAsia="仿宋_GB2312" w:cs="仿宋_GB2312"/>
          <w:spacing w:val="2"/>
          <w:kern w:val="0"/>
          <w:sz w:val="24"/>
          <w:szCs w:val="24"/>
          <w:lang w:val="zh-CN"/>
        </w:rPr>
        <w:t>3.需在光明区成立项目</w:t>
      </w:r>
      <w:bookmarkStart w:id="0" w:name="_GoBack"/>
      <w:bookmarkEnd w:id="0"/>
      <w:r>
        <w:rPr>
          <w:rFonts w:hint="eastAsia" w:ascii="仿宋_GB2312" w:hAnsi="Times New Roman" w:eastAsia="仿宋_GB2312" w:cs="仿宋_GB2312"/>
          <w:spacing w:val="2"/>
          <w:kern w:val="0"/>
          <w:sz w:val="24"/>
          <w:szCs w:val="24"/>
          <w:lang w:val="zh-CN"/>
        </w:rPr>
        <w:t>部，且需配备足够的办公设备及车辆，执行团队全体成员需长期驻点光明区（如执行团队全体成员未长期驻点光明区的，视为违约，合同自动终止），负责整个项目的实施，项目服务人员，随时陪同参加检查工作；</w:t>
      </w:r>
    </w:p>
    <w:p>
      <w:pPr>
        <w:autoSpaceDE w:val="0"/>
        <w:autoSpaceDN w:val="0"/>
        <w:adjustRightInd w:val="0"/>
        <w:spacing w:before="35" w:line="317" w:lineRule="auto"/>
        <w:ind w:left="0" w:right="84" w:firstLine="0" w:firstLineChars="0"/>
        <w:jc w:val="left"/>
        <w:rPr>
          <w:rFonts w:hint="eastAsia" w:ascii="仿宋_GB2312" w:hAnsi="Times New Roman" w:eastAsia="仿宋_GB2312" w:cs="仿宋_GB2312"/>
          <w:spacing w:val="2"/>
          <w:kern w:val="0"/>
          <w:sz w:val="24"/>
          <w:szCs w:val="24"/>
          <w:highlight w:val="none"/>
          <w:lang w:val="en-US" w:eastAsia="zh-CN"/>
        </w:rPr>
      </w:pPr>
      <w:r>
        <w:rPr>
          <w:rFonts w:hint="eastAsia" w:ascii="仿宋_GB2312" w:hAnsi="Times New Roman" w:eastAsia="仿宋_GB2312" w:cs="仿宋_GB2312"/>
          <w:spacing w:val="2"/>
          <w:kern w:val="0"/>
          <w:sz w:val="24"/>
          <w:szCs w:val="24"/>
          <w:highlight w:val="none"/>
          <w:lang w:val="en-US" w:eastAsia="zh-CN"/>
        </w:rPr>
        <w:t>4.</w:t>
      </w:r>
      <w:r>
        <w:rPr>
          <w:rFonts w:hint="eastAsia" w:ascii="仿宋_GB2312" w:hAnsi="Times New Roman" w:eastAsia="仿宋_GB2312" w:cs="仿宋_GB2312"/>
          <w:spacing w:val="2"/>
          <w:kern w:val="0"/>
          <w:sz w:val="24"/>
          <w:szCs w:val="24"/>
          <w:highlight w:val="none"/>
          <w:lang w:val="zh-CN" w:eastAsia="zh-CN"/>
        </w:rPr>
        <w:t>拟派的</w:t>
      </w:r>
      <w:r>
        <w:rPr>
          <w:rFonts w:hint="eastAsia" w:ascii="仿宋_GB2312" w:hAnsi="Times New Roman" w:eastAsia="仿宋_GB2312" w:cs="仿宋_GB2312"/>
          <w:spacing w:val="2"/>
          <w:kern w:val="0"/>
          <w:sz w:val="24"/>
          <w:szCs w:val="24"/>
          <w:highlight w:val="none"/>
          <w:lang w:val="zh-CN"/>
        </w:rPr>
        <w:t>项目</w:t>
      </w:r>
      <w:r>
        <w:rPr>
          <w:rFonts w:hint="eastAsia" w:ascii="仿宋_GB2312" w:hAnsi="Times New Roman" w:eastAsia="仿宋_GB2312" w:cs="仿宋_GB2312"/>
          <w:spacing w:val="2"/>
          <w:kern w:val="0"/>
          <w:sz w:val="24"/>
          <w:szCs w:val="24"/>
          <w:highlight w:val="none"/>
          <w:lang w:val="zh-CN" w:eastAsia="zh-CN"/>
        </w:rPr>
        <w:t>经理</w:t>
      </w:r>
      <w:r>
        <w:rPr>
          <w:rFonts w:hint="eastAsia" w:ascii="仿宋_GB2312" w:hAnsi="Times New Roman" w:eastAsia="仿宋_GB2312" w:cs="仿宋_GB2312"/>
          <w:spacing w:val="2"/>
          <w:kern w:val="0"/>
          <w:sz w:val="24"/>
          <w:szCs w:val="24"/>
          <w:highlight w:val="none"/>
          <w:lang w:val="zh-CN"/>
        </w:rPr>
        <w:t>持有机电工程专业二级或以上注册建造师证书，且具有中级工程师及以上</w:t>
      </w:r>
      <w:r>
        <w:rPr>
          <w:rFonts w:hint="eastAsia" w:ascii="仿宋_GB2312" w:hAnsi="Times New Roman" w:eastAsia="仿宋_GB2312" w:cs="仿宋_GB2312"/>
          <w:spacing w:val="2"/>
          <w:kern w:val="0"/>
          <w:sz w:val="24"/>
          <w:szCs w:val="24"/>
          <w:highlight w:val="none"/>
          <w:lang w:val="zh-CN" w:eastAsia="zh-CN"/>
        </w:rPr>
        <w:t>，其他</w:t>
      </w:r>
      <w:r>
        <w:rPr>
          <w:rFonts w:hint="eastAsia" w:ascii="仿宋_GB2312" w:hAnsi="Times New Roman" w:eastAsia="仿宋_GB2312" w:cs="仿宋_GB2312"/>
          <w:spacing w:val="2"/>
          <w:kern w:val="0"/>
          <w:sz w:val="24"/>
          <w:szCs w:val="24"/>
          <w:highlight w:val="none"/>
          <w:lang w:val="zh-CN"/>
        </w:rPr>
        <w:t>团队成员具有特种作业操作证或中级及以上工程师职称的</w:t>
      </w:r>
      <w:r>
        <w:rPr>
          <w:rFonts w:hint="eastAsia" w:ascii="仿宋_GB2312" w:hAnsi="Times New Roman" w:eastAsia="仿宋_GB2312" w:cs="仿宋_GB2312"/>
          <w:spacing w:val="2"/>
          <w:kern w:val="0"/>
          <w:sz w:val="24"/>
          <w:szCs w:val="24"/>
          <w:highlight w:val="none"/>
          <w:lang w:val="zh-CN" w:eastAsia="zh-CN"/>
        </w:rPr>
        <w:t>；</w:t>
      </w:r>
    </w:p>
    <w:p>
      <w:pPr>
        <w:autoSpaceDE w:val="0"/>
        <w:autoSpaceDN w:val="0"/>
        <w:adjustRightInd w:val="0"/>
        <w:spacing w:before="35" w:line="317" w:lineRule="auto"/>
        <w:ind w:left="0" w:right="84" w:firstLine="0" w:firstLineChars="0"/>
        <w:jc w:val="left"/>
        <w:rPr>
          <w:rFonts w:hint="eastAsia" w:ascii="仿宋_GB2312" w:hAnsi="Times New Roman" w:eastAsia="仿宋_GB2312" w:cs="仿宋_GB2312"/>
          <w:b/>
          <w:bCs/>
          <w:spacing w:val="2"/>
          <w:kern w:val="0"/>
          <w:sz w:val="24"/>
          <w:szCs w:val="24"/>
          <w:lang w:val="zh-CN"/>
        </w:rPr>
      </w:pPr>
      <w:r>
        <w:rPr>
          <w:rFonts w:hint="eastAsia" w:ascii="仿宋_GB2312" w:hAnsi="Times New Roman" w:eastAsia="仿宋_GB2312" w:cs="仿宋_GB2312"/>
          <w:b/>
          <w:bCs/>
          <w:spacing w:val="2"/>
          <w:kern w:val="0"/>
          <w:sz w:val="24"/>
          <w:szCs w:val="24"/>
          <w:lang w:val="zh-CN"/>
        </w:rPr>
        <w:t>（五）服务要求</w:t>
      </w:r>
    </w:p>
    <w:p>
      <w:pPr>
        <w:autoSpaceDE w:val="0"/>
        <w:autoSpaceDN w:val="0"/>
        <w:adjustRightInd w:val="0"/>
        <w:spacing w:before="35" w:line="317" w:lineRule="auto"/>
        <w:ind w:left="0" w:right="84"/>
        <w:jc w:val="left"/>
        <w:rPr>
          <w:rFonts w:hint="eastAsia" w:ascii="仿宋_GB2312" w:hAnsi="Times New Roman" w:eastAsia="仿宋_GB2312" w:cs="仿宋_GB2312"/>
          <w:spacing w:val="2"/>
          <w:kern w:val="0"/>
          <w:sz w:val="24"/>
          <w:szCs w:val="24"/>
        </w:rPr>
      </w:pPr>
      <w:r>
        <w:rPr>
          <w:rFonts w:hint="eastAsia" w:ascii="仿宋_GB2312" w:hAnsi="Times New Roman" w:eastAsia="仿宋_GB2312" w:cs="仿宋_GB2312"/>
          <w:color w:val="auto"/>
          <w:spacing w:val="2"/>
          <w:kern w:val="0"/>
          <w:sz w:val="24"/>
          <w:szCs w:val="24"/>
        </w:rPr>
        <w:t>1、中标单位应严格遵守国家及电力行业相</w:t>
      </w:r>
      <w:r>
        <w:rPr>
          <w:rFonts w:hint="eastAsia" w:ascii="仿宋_GB2312" w:hAnsi="Times New Roman" w:eastAsia="仿宋_GB2312" w:cs="仿宋_GB2312"/>
          <w:spacing w:val="2"/>
          <w:kern w:val="0"/>
          <w:sz w:val="24"/>
          <w:szCs w:val="24"/>
        </w:rPr>
        <w:t>关法律法规及合同约定相关要求对托管电气设备开展各项运维工作。</w:t>
      </w:r>
    </w:p>
    <w:p>
      <w:pPr>
        <w:autoSpaceDE w:val="0"/>
        <w:autoSpaceDN w:val="0"/>
        <w:adjustRightInd w:val="0"/>
        <w:spacing w:before="35" w:line="317" w:lineRule="auto"/>
        <w:ind w:left="0" w:right="84"/>
        <w:jc w:val="left"/>
        <w:rPr>
          <w:rFonts w:hint="eastAsia" w:ascii="仿宋_GB2312" w:hAnsi="Times New Roman" w:eastAsia="仿宋_GB2312" w:cs="仿宋_GB2312"/>
          <w:spacing w:val="2"/>
          <w:kern w:val="0"/>
          <w:sz w:val="24"/>
          <w:szCs w:val="24"/>
        </w:rPr>
      </w:pPr>
      <w:r>
        <w:rPr>
          <w:rFonts w:hint="eastAsia" w:ascii="仿宋_GB2312" w:hAnsi="Times New Roman" w:eastAsia="仿宋_GB2312" w:cs="仿宋_GB2312"/>
          <w:spacing w:val="2"/>
          <w:kern w:val="0"/>
          <w:sz w:val="24"/>
          <w:szCs w:val="24"/>
        </w:rPr>
        <w:t>2、中标单位必须遵守有关电业安全规定，对其工作人员进行培训和管理，所有现场作业人员必须持证上岗。</w:t>
      </w:r>
    </w:p>
    <w:p>
      <w:pPr>
        <w:autoSpaceDE w:val="0"/>
        <w:autoSpaceDN w:val="0"/>
        <w:adjustRightInd w:val="0"/>
        <w:spacing w:before="35" w:line="317" w:lineRule="auto"/>
        <w:ind w:left="0" w:right="84"/>
        <w:jc w:val="left"/>
        <w:rPr>
          <w:rFonts w:hint="eastAsia" w:ascii="仿宋_GB2312" w:hAnsi="Times New Roman" w:eastAsia="仿宋_GB2312" w:cs="仿宋_GB2312"/>
          <w:spacing w:val="2"/>
          <w:kern w:val="0"/>
          <w:sz w:val="24"/>
          <w:szCs w:val="24"/>
        </w:rPr>
      </w:pPr>
      <w:r>
        <w:rPr>
          <w:rFonts w:hint="eastAsia" w:ascii="仿宋_GB2312" w:hAnsi="Times New Roman" w:eastAsia="仿宋_GB2312" w:cs="仿宋_GB2312"/>
          <w:spacing w:val="2"/>
          <w:kern w:val="0"/>
          <w:sz w:val="24"/>
          <w:szCs w:val="24"/>
        </w:rPr>
        <w:t>3、中标单位每周与采购单位指派的工作人员一同进行用电巡查，巡查结果由双方签字确认，每月总结形成“月度运维报告”，并于每月固定时间交由采购单位存档。</w:t>
      </w:r>
    </w:p>
    <w:p>
      <w:pPr>
        <w:pStyle w:val="4"/>
        <w:numPr>
          <w:ilvl w:val="0"/>
          <w:numId w:val="0"/>
        </w:numPr>
        <w:autoSpaceDE w:val="0"/>
        <w:autoSpaceDN w:val="0"/>
        <w:adjustRightInd w:val="0"/>
        <w:spacing w:before="35" w:line="317" w:lineRule="auto"/>
        <w:ind w:left="0" w:leftChars="0" w:right="84" w:rightChars="0" w:firstLine="0" w:firstLineChars="0"/>
        <w:jc w:val="left"/>
        <w:rPr>
          <w:rFonts w:hint="eastAsia" w:ascii="仿宋_GB2312" w:hAnsi="Times New Roman" w:eastAsia="仿宋_GB2312" w:cs="仿宋_GB2312"/>
          <w:spacing w:val="2"/>
          <w:kern w:val="0"/>
          <w:sz w:val="24"/>
          <w:szCs w:val="24"/>
          <w:highlight w:val="none"/>
          <w:lang w:val="en-US" w:eastAsia="zh-CN" w:bidi="ar-SA"/>
        </w:rPr>
      </w:pPr>
      <w:r>
        <w:rPr>
          <w:rFonts w:hint="eastAsia" w:ascii="仿宋_GB2312" w:hAnsi="Times New Roman" w:eastAsia="仿宋_GB2312" w:cs="仿宋_GB2312"/>
          <w:spacing w:val="2"/>
          <w:kern w:val="0"/>
          <w:sz w:val="24"/>
          <w:szCs w:val="24"/>
          <w:highlight w:val="none"/>
          <w:lang w:val="en-US" w:eastAsia="zh-CN" w:bidi="ar-SA"/>
        </w:rPr>
        <w:t>4、当遇到较大故障时，可随时调动就近服务点为后备支援力量，针对采购单位用电需求的特点，在“两馆”举行大型活动和重要会议期间，安排人员驻守场馆值守，一旦发生故障，势必需要第一时间进行故障的处理和紧急保供电方案作为应急保障,紧急情况时，必须配备500kW及以上的发电车进行应急保供电</w:t>
      </w:r>
      <w:r>
        <w:rPr>
          <w:rFonts w:hint="eastAsia" w:ascii="仿宋_GB2312" w:hAnsi="Times New Roman" w:eastAsia="仿宋_GB2312" w:cs="仿宋_GB2312"/>
          <w:color w:val="auto"/>
          <w:spacing w:val="2"/>
          <w:kern w:val="0"/>
          <w:sz w:val="24"/>
          <w:szCs w:val="24"/>
          <w:highlight w:val="none"/>
          <w:lang w:val="en-US" w:eastAsia="zh-CN" w:bidi="ar-SA"/>
        </w:rPr>
        <w:t>。</w:t>
      </w:r>
    </w:p>
    <w:p>
      <w:pPr>
        <w:autoSpaceDE w:val="0"/>
        <w:autoSpaceDN w:val="0"/>
        <w:adjustRightInd w:val="0"/>
        <w:spacing w:before="35" w:line="317" w:lineRule="auto"/>
        <w:ind w:left="0" w:right="4177"/>
        <w:jc w:val="left"/>
        <w:rPr>
          <w:rFonts w:hint="eastAsia" w:ascii="黑体" w:hAnsi="Times New Roman" w:eastAsia="黑体" w:cs="黑体"/>
          <w:kern w:val="0"/>
          <w:sz w:val="24"/>
          <w:szCs w:val="24"/>
          <w:lang w:eastAsia="zh-CN"/>
        </w:rPr>
      </w:pPr>
      <w:r>
        <w:rPr>
          <w:rFonts w:hint="eastAsia" w:ascii="黑体" w:hAnsi="Times New Roman" w:eastAsia="黑体" w:cs="黑体"/>
          <w:kern w:val="0"/>
          <w:sz w:val="24"/>
          <w:szCs w:val="24"/>
        </w:rPr>
        <w:t>三、</w:t>
      </w:r>
      <w:r>
        <w:rPr>
          <w:rFonts w:hint="eastAsia" w:ascii="黑体" w:hAnsi="Times New Roman" w:eastAsia="黑体" w:cs="黑体"/>
          <w:kern w:val="0"/>
          <w:sz w:val="24"/>
          <w:szCs w:val="24"/>
          <w:lang w:eastAsia="zh-CN"/>
        </w:rPr>
        <w:t>供应商资格要求</w:t>
      </w:r>
    </w:p>
    <w:p>
      <w:pPr>
        <w:autoSpaceDE w:val="0"/>
        <w:autoSpaceDN w:val="0"/>
        <w:adjustRightInd w:val="0"/>
        <w:spacing w:line="352" w:lineRule="exact"/>
        <w:ind w:left="0" w:right="62"/>
        <w:jc w:val="left"/>
        <w:rPr>
          <w:rFonts w:hint="eastAsia" w:ascii="仿宋_GB2312" w:hAnsi="Times New Roman" w:eastAsia="仿宋_GB2312" w:cs="仿宋_GB2312"/>
          <w:spacing w:val="2"/>
          <w:kern w:val="0"/>
          <w:position w:val="0"/>
          <w:sz w:val="24"/>
          <w:szCs w:val="24"/>
        </w:rPr>
      </w:pPr>
      <w:r>
        <w:rPr>
          <w:rFonts w:hint="eastAsia" w:ascii="仿宋_GB2312" w:hAnsi="Times New Roman" w:eastAsia="仿宋_GB2312" w:cs="仿宋_GB2312"/>
          <w:spacing w:val="2"/>
          <w:kern w:val="0"/>
          <w:position w:val="0"/>
          <w:sz w:val="24"/>
          <w:szCs w:val="24"/>
        </w:rPr>
        <w:t>（一）</w:t>
      </w:r>
      <w:r>
        <w:rPr>
          <w:rFonts w:hint="eastAsia" w:ascii="仿宋_GB2312" w:hAnsi="Times New Roman" w:eastAsia="仿宋_GB2312" w:cs="仿宋_GB2312"/>
          <w:spacing w:val="2"/>
          <w:kern w:val="0"/>
          <w:sz w:val="24"/>
          <w:szCs w:val="24"/>
          <w:highlight w:val="none"/>
          <w:lang w:val="en-US" w:eastAsia="zh-CN" w:bidi="ar-SA"/>
        </w:rPr>
        <w:t>投标人须具有独立法人资格及履行本项目的能力，具有独立承担民事责任能力，供营业执照副本原件复印件（原件备查，如企业营业执照未反映经营范围，须提供深圳市市场监督管理局网站或公司所在地关于供应商经营范围查询结果的截图）</w:t>
      </w:r>
      <w:r>
        <w:rPr>
          <w:rFonts w:hint="eastAsia" w:ascii="仿宋_GB2312" w:hAnsi="Times New Roman" w:eastAsia="仿宋_GB2312" w:cs="仿宋_GB2312"/>
          <w:spacing w:val="2"/>
          <w:kern w:val="0"/>
          <w:position w:val="0"/>
          <w:sz w:val="24"/>
          <w:szCs w:val="24"/>
        </w:rPr>
        <w:t>投标人须具有独立法人资格及履行本项目的能力，具有独立承担民事责任能力；</w:t>
      </w:r>
    </w:p>
    <w:p>
      <w:pPr>
        <w:autoSpaceDE w:val="0"/>
        <w:autoSpaceDN w:val="0"/>
        <w:adjustRightInd w:val="0"/>
        <w:spacing w:line="352" w:lineRule="exact"/>
        <w:ind w:left="0" w:right="62"/>
        <w:jc w:val="left"/>
        <w:rPr>
          <w:rFonts w:hint="eastAsia" w:ascii="仿宋_GB2312" w:hAnsi="Times New Roman" w:eastAsia="仿宋_GB2312" w:cs="仿宋_GB2312"/>
          <w:spacing w:val="2"/>
          <w:kern w:val="0"/>
          <w:position w:val="0"/>
          <w:sz w:val="24"/>
          <w:szCs w:val="24"/>
        </w:rPr>
      </w:pPr>
      <w:r>
        <w:rPr>
          <w:rFonts w:hint="eastAsia" w:ascii="仿宋_GB2312" w:hAnsi="Times New Roman" w:eastAsia="仿宋_GB2312" w:cs="仿宋_GB2312"/>
          <w:spacing w:val="2"/>
          <w:kern w:val="0"/>
          <w:position w:val="0"/>
          <w:sz w:val="24"/>
          <w:szCs w:val="24"/>
        </w:rPr>
        <w:t>（二）投标人法人证书及法人身份证复印件；被委托人投标报名的，须额外提供法人代表授权书及被委托人身份证复印件；</w:t>
      </w:r>
    </w:p>
    <w:p>
      <w:pPr>
        <w:autoSpaceDE w:val="0"/>
        <w:autoSpaceDN w:val="0"/>
        <w:adjustRightInd w:val="0"/>
        <w:spacing w:line="352" w:lineRule="exact"/>
        <w:ind w:left="0" w:right="62"/>
        <w:jc w:val="left"/>
        <w:rPr>
          <w:rFonts w:hint="eastAsia" w:ascii="仿宋_GB2312" w:hAnsi="Times New Roman" w:eastAsia="仿宋_GB2312" w:cs="仿宋_GB2312"/>
          <w:spacing w:val="2"/>
          <w:kern w:val="0"/>
          <w:position w:val="0"/>
          <w:sz w:val="24"/>
          <w:szCs w:val="24"/>
          <w:highlight w:val="none"/>
          <w:lang w:eastAsia="zh-CN"/>
        </w:rPr>
      </w:pPr>
      <w:r>
        <w:rPr>
          <w:rFonts w:hint="eastAsia" w:ascii="仿宋_GB2312" w:hAnsi="Times New Roman" w:eastAsia="仿宋_GB2312" w:cs="仿宋_GB2312"/>
          <w:spacing w:val="2"/>
          <w:kern w:val="0"/>
          <w:position w:val="0"/>
          <w:sz w:val="24"/>
          <w:szCs w:val="24"/>
          <w:highlight w:val="none"/>
          <w:lang w:eastAsia="zh-CN"/>
        </w:rPr>
        <w:t>（三）投标人须具有输变电工程专业承包（三级及以上）资质，同时具有</w:t>
      </w:r>
      <w:r>
        <w:rPr>
          <w:rFonts w:hint="eastAsia" w:ascii="仿宋_GB2312" w:hAnsi="Times New Roman" w:eastAsia="仿宋_GB2312" w:cs="仿宋_GB2312"/>
          <w:spacing w:val="2"/>
          <w:kern w:val="0"/>
          <w:position w:val="0"/>
          <w:sz w:val="24"/>
          <w:szCs w:val="24"/>
          <w:highlight w:val="none"/>
          <w:lang w:val="en-US" w:eastAsia="zh-CN"/>
        </w:rPr>
        <w:t>国家能源局南方监局颁发的</w:t>
      </w:r>
      <w:r>
        <w:rPr>
          <w:rFonts w:hint="eastAsia" w:ascii="仿宋_GB2312" w:hAnsi="Times New Roman" w:eastAsia="仿宋_GB2312" w:cs="仿宋_GB2312"/>
          <w:spacing w:val="2"/>
          <w:kern w:val="0"/>
          <w:position w:val="0"/>
          <w:sz w:val="24"/>
          <w:szCs w:val="24"/>
          <w:highlight w:val="none"/>
          <w:lang w:eastAsia="zh-CN"/>
        </w:rPr>
        <w:t>承装（修、试）电力设施许可证四级及以上；</w:t>
      </w:r>
    </w:p>
    <w:p>
      <w:pPr>
        <w:autoSpaceDE w:val="0"/>
        <w:autoSpaceDN w:val="0"/>
        <w:adjustRightInd w:val="0"/>
        <w:spacing w:line="352" w:lineRule="exact"/>
        <w:ind w:left="0" w:right="62"/>
        <w:jc w:val="left"/>
        <w:rPr>
          <w:rFonts w:hint="eastAsia" w:ascii="仿宋_GB2312" w:hAnsi="Times New Roman" w:eastAsia="仿宋_GB2312" w:cs="仿宋_GB2312"/>
          <w:spacing w:val="2"/>
          <w:kern w:val="0"/>
          <w:position w:val="0"/>
          <w:sz w:val="24"/>
          <w:szCs w:val="24"/>
          <w:highlight w:val="none"/>
          <w:lang w:eastAsia="zh-CN"/>
        </w:rPr>
      </w:pPr>
      <w:r>
        <w:rPr>
          <w:rFonts w:hint="eastAsia" w:ascii="仿宋_GB2312" w:hAnsi="Times New Roman" w:eastAsia="仿宋_GB2312" w:cs="仿宋_GB2312"/>
          <w:spacing w:val="2"/>
          <w:kern w:val="0"/>
          <w:position w:val="0"/>
          <w:sz w:val="24"/>
          <w:szCs w:val="24"/>
          <w:highlight w:val="none"/>
          <w:lang w:eastAsia="zh-CN"/>
        </w:rPr>
        <w:t>（四）投标人须具有建设行政主管部门颁发的安全生产许可证；</w:t>
      </w:r>
    </w:p>
    <w:p>
      <w:pPr>
        <w:autoSpaceDE w:val="0"/>
        <w:autoSpaceDN w:val="0"/>
        <w:adjustRightInd w:val="0"/>
        <w:spacing w:line="352" w:lineRule="exact"/>
        <w:ind w:left="0" w:right="62"/>
        <w:jc w:val="left"/>
        <w:rPr>
          <w:rFonts w:hint="eastAsia" w:ascii="仿宋_GB2312" w:hAnsi="Times New Roman" w:eastAsia="仿宋_GB2312" w:cs="仿宋_GB2312"/>
          <w:spacing w:val="2"/>
          <w:kern w:val="0"/>
          <w:position w:val="0"/>
          <w:sz w:val="24"/>
          <w:szCs w:val="24"/>
          <w:highlight w:val="none"/>
          <w:lang w:eastAsia="zh-CN"/>
        </w:rPr>
      </w:pPr>
      <w:r>
        <w:rPr>
          <w:rFonts w:hint="eastAsia" w:ascii="仿宋_GB2312" w:hAnsi="Times New Roman" w:eastAsia="仿宋_GB2312" w:cs="仿宋_GB2312"/>
          <w:spacing w:val="2"/>
          <w:kern w:val="0"/>
          <w:position w:val="0"/>
          <w:sz w:val="24"/>
          <w:szCs w:val="24"/>
          <w:highlight w:val="none"/>
          <w:lang w:eastAsia="zh-CN"/>
        </w:rPr>
        <w:t>（五）投标人须具有高低压电气设备运维托管类业绩（提供合同扫描件）；</w:t>
      </w:r>
    </w:p>
    <w:p>
      <w:pPr>
        <w:pStyle w:val="4"/>
        <w:numPr>
          <w:ilvl w:val="0"/>
          <w:numId w:val="0"/>
        </w:numPr>
        <w:autoSpaceDE w:val="0"/>
        <w:autoSpaceDN w:val="0"/>
        <w:adjustRightInd w:val="0"/>
        <w:spacing w:line="352" w:lineRule="exact"/>
        <w:ind w:left="0" w:leftChars="0" w:right="62" w:rightChars="0" w:firstLine="0" w:firstLineChars="0"/>
        <w:jc w:val="left"/>
        <w:rPr>
          <w:rFonts w:hint="eastAsia" w:ascii="仿宋_GB2312" w:hAnsi="Times New Roman" w:eastAsia="仿宋_GB2312" w:cs="仿宋_GB2312"/>
          <w:spacing w:val="2"/>
          <w:kern w:val="0"/>
          <w:position w:val="0"/>
          <w:sz w:val="24"/>
          <w:szCs w:val="24"/>
        </w:rPr>
      </w:pPr>
      <w:r>
        <w:rPr>
          <w:rFonts w:hint="eastAsia" w:ascii="仿宋_GB2312" w:hAnsi="Times New Roman" w:eastAsia="仿宋_GB2312" w:cs="仿宋_GB2312"/>
          <w:spacing w:val="2"/>
          <w:kern w:val="0"/>
          <w:position w:val="0"/>
          <w:sz w:val="24"/>
          <w:szCs w:val="24"/>
          <w:lang w:eastAsia="zh-CN"/>
        </w:rPr>
        <w:t>（六）</w:t>
      </w:r>
      <w:r>
        <w:rPr>
          <w:rFonts w:hint="eastAsia" w:ascii="仿宋_GB2312" w:hAnsi="Times New Roman" w:eastAsia="仿宋_GB2312" w:cs="仿宋_GB2312"/>
          <w:spacing w:val="2"/>
          <w:kern w:val="0"/>
          <w:position w:val="0"/>
          <w:sz w:val="24"/>
          <w:szCs w:val="24"/>
        </w:rPr>
        <w:t>本项目不接受联合体投标，不允许分包、转包。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02132"/>
    <w:multiLevelType w:val="multilevel"/>
    <w:tmpl w:val="2D402132"/>
    <w:lvl w:ilvl="0" w:tentative="0">
      <w:start w:val="1"/>
      <w:numFmt w:val="japaneseCounting"/>
      <w:lvlText w:val="%1、"/>
      <w:lvlJc w:val="left"/>
      <w:pPr>
        <w:ind w:left="1241" w:hanging="480"/>
      </w:pPr>
      <w:rPr>
        <w:rFonts w:hint="default"/>
      </w:rPr>
    </w:lvl>
    <w:lvl w:ilvl="1" w:tentative="0">
      <w:start w:val="1"/>
      <w:numFmt w:val="lowerLetter"/>
      <w:lvlText w:val="%2)"/>
      <w:lvlJc w:val="left"/>
      <w:pPr>
        <w:ind w:left="1601" w:hanging="420"/>
      </w:pPr>
    </w:lvl>
    <w:lvl w:ilvl="2" w:tentative="0">
      <w:start w:val="1"/>
      <w:numFmt w:val="lowerRoman"/>
      <w:lvlText w:val="%3."/>
      <w:lvlJc w:val="right"/>
      <w:pPr>
        <w:ind w:left="2021" w:hanging="420"/>
      </w:pPr>
    </w:lvl>
    <w:lvl w:ilvl="3" w:tentative="0">
      <w:start w:val="1"/>
      <w:numFmt w:val="decimal"/>
      <w:lvlText w:val="%4."/>
      <w:lvlJc w:val="left"/>
      <w:pPr>
        <w:ind w:left="2441" w:hanging="420"/>
      </w:pPr>
    </w:lvl>
    <w:lvl w:ilvl="4" w:tentative="0">
      <w:start w:val="1"/>
      <w:numFmt w:val="lowerLetter"/>
      <w:lvlText w:val="%5)"/>
      <w:lvlJc w:val="left"/>
      <w:pPr>
        <w:ind w:left="2861" w:hanging="420"/>
      </w:pPr>
    </w:lvl>
    <w:lvl w:ilvl="5" w:tentative="0">
      <w:start w:val="1"/>
      <w:numFmt w:val="lowerRoman"/>
      <w:lvlText w:val="%6."/>
      <w:lvlJc w:val="right"/>
      <w:pPr>
        <w:ind w:left="3281" w:hanging="420"/>
      </w:pPr>
    </w:lvl>
    <w:lvl w:ilvl="6" w:tentative="0">
      <w:start w:val="1"/>
      <w:numFmt w:val="decimal"/>
      <w:lvlText w:val="%7."/>
      <w:lvlJc w:val="left"/>
      <w:pPr>
        <w:ind w:left="3701" w:hanging="420"/>
      </w:pPr>
    </w:lvl>
    <w:lvl w:ilvl="7" w:tentative="0">
      <w:start w:val="1"/>
      <w:numFmt w:val="lowerLetter"/>
      <w:lvlText w:val="%8)"/>
      <w:lvlJc w:val="left"/>
      <w:pPr>
        <w:ind w:left="4121" w:hanging="420"/>
      </w:pPr>
    </w:lvl>
    <w:lvl w:ilvl="8" w:tentative="0">
      <w:start w:val="1"/>
      <w:numFmt w:val="lowerRoman"/>
      <w:lvlText w:val="%9."/>
      <w:lvlJc w:val="right"/>
      <w:pPr>
        <w:ind w:left="45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72ADF"/>
    <w:rsid w:val="030B5A04"/>
    <w:rsid w:val="1CAA014E"/>
    <w:rsid w:val="2C2225F9"/>
    <w:rsid w:val="35D347A0"/>
    <w:rsid w:val="463A279D"/>
    <w:rsid w:val="7E572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2020-10-19T01:34:00Z</dcterms:created>
  <dc:creator>6⃣️1⃣️</dc:creator>
  <cp:lastModifiedBy>黄要</cp:lastModifiedBy>
  <dcterms:modified xsi:type="dcterms:W3CDTF">2021-10-15T03:28:13Z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