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rPr>
        <w:t>光明区</w:t>
      </w:r>
      <w:r>
        <w:rPr>
          <w:rFonts w:hint="eastAsia" w:ascii="宋体" w:hAnsi="宋体" w:eastAsia="宋体" w:cs="宋体"/>
          <w:b/>
          <w:bCs w:val="0"/>
          <w:sz w:val="44"/>
          <w:szCs w:val="44"/>
          <w:highlight w:val="none"/>
          <w:lang w:val="en-US" w:eastAsia="zh-CN"/>
        </w:rPr>
        <w:t>公共文化艺术发展中心机房网络及配套设备</w:t>
      </w:r>
      <w:r>
        <w:rPr>
          <w:rFonts w:hint="eastAsia" w:ascii="宋体" w:hAnsi="宋体" w:cs="宋体"/>
          <w:b/>
          <w:bCs w:val="0"/>
          <w:sz w:val="44"/>
          <w:szCs w:val="44"/>
          <w:highlight w:val="none"/>
          <w:lang w:val="en-US" w:eastAsia="zh-CN"/>
        </w:rPr>
        <w:t>年度维保服务</w:t>
      </w:r>
      <w:r>
        <w:rPr>
          <w:rFonts w:hint="eastAsia" w:ascii="宋体" w:hAnsi="宋体" w:eastAsia="宋体" w:cs="宋体"/>
          <w:b/>
          <w:bCs w:val="0"/>
          <w:sz w:val="44"/>
          <w:szCs w:val="44"/>
          <w:highlight w:val="none"/>
        </w:rPr>
        <w:t>采购需求</w:t>
      </w:r>
    </w:p>
    <w:p>
      <w:pPr>
        <w:spacing w:line="578" w:lineRule="exact"/>
        <w:jc w:val="both"/>
        <w:rPr>
          <w:rFonts w:hint="eastAsia" w:ascii="黑体" w:hAnsi="黑体" w:eastAsia="黑体" w:cs="黑体"/>
          <w:sz w:val="32"/>
          <w:szCs w:val="32"/>
          <w:highlight w:val="none"/>
        </w:rPr>
      </w:pPr>
    </w:p>
    <w:p>
      <w:pPr>
        <w:spacing w:line="578"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一、采购项目概况</w:t>
      </w:r>
    </w:p>
    <w:p>
      <w:pPr>
        <w:spacing w:line="578" w:lineRule="exact"/>
        <w:jc w:val="left"/>
        <w:rPr>
          <w:rFonts w:hint="eastAsia" w:ascii="仿宋_GB2312" w:hAnsi="仿宋_GB2312" w:eastAsia="仿宋_GB2312" w:cs="仿宋_GB2312"/>
          <w:sz w:val="32"/>
          <w:szCs w:val="32"/>
          <w:highlight w:val="none"/>
          <w:lang w:val="en-US" w:eastAsia="zh-CN"/>
        </w:rPr>
      </w:pPr>
      <w:bookmarkStart w:id="0" w:name="_Hlk47626645"/>
      <w:r>
        <w:rPr>
          <w:rFonts w:hint="eastAsia" w:ascii="仿宋_GB2312" w:hAnsi="仿宋_GB2312" w:eastAsia="仿宋_GB2312" w:cs="仿宋_GB2312"/>
          <w:sz w:val="32"/>
          <w:szCs w:val="32"/>
          <w:highlight w:val="none"/>
        </w:rPr>
        <w:t>项目</w:t>
      </w:r>
      <w:bookmarkEnd w:id="0"/>
      <w:r>
        <w:rPr>
          <w:rFonts w:hint="eastAsia" w:ascii="仿宋_GB2312" w:hAnsi="仿宋_GB2312" w:eastAsia="仿宋_GB2312" w:cs="仿宋_GB2312"/>
          <w:sz w:val="32"/>
          <w:szCs w:val="32"/>
          <w:highlight w:val="none"/>
        </w:rPr>
        <w:t>名称：光明区公共文化艺术发展中心机房网络及配套设备年度维保服务</w:t>
      </w:r>
    </w:p>
    <w:p>
      <w:pPr>
        <w:spacing w:line="578"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项目预算：</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（报价高于18万以上无效）</w:t>
      </w:r>
    </w:p>
    <w:p>
      <w:pPr>
        <w:spacing w:line="578"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项目介绍：</w:t>
      </w:r>
      <w:r>
        <w:rPr>
          <w:rFonts w:hint="eastAsia" w:ascii="仿宋_GB2312" w:hAnsi="仿宋_GB2312" w:eastAsia="仿宋_GB2312" w:cs="仿宋_GB2312"/>
          <w:color w:val="000000"/>
          <w:sz w:val="32"/>
          <w:szCs w:val="32"/>
        </w:rPr>
        <w:t>保障公共文化艺术发展中心机房网络设备稳定、健康运行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现</w:t>
      </w:r>
      <w:r>
        <w:rPr>
          <w:rFonts w:hint="eastAsia" w:ascii="仿宋_GB2312" w:hAnsi="仿宋_GB2312" w:eastAsia="仿宋_GB2312" w:cs="仿宋_GB2312"/>
          <w:sz w:val="32"/>
          <w:szCs w:val="32"/>
          <w:highlight w:val="none"/>
        </w:rPr>
        <w:t>需要对机房网络及配套设备进行运维巡检服务。</w:t>
      </w:r>
    </w:p>
    <w:p>
      <w:pPr>
        <w:numPr>
          <w:ilvl w:val="0"/>
          <w:numId w:val="1"/>
        </w:numPr>
        <w:spacing w:line="578" w:lineRule="exact"/>
        <w:rPr>
          <w:rFonts w:hint="eastAsia" w:ascii="黑体" w:hAnsi="黑体" w:eastAsia="黑体" w:cs="黑体"/>
          <w:sz w:val="32"/>
          <w:szCs w:val="32"/>
        </w:rPr>
      </w:pPr>
      <w:r>
        <w:rPr>
          <w:rFonts w:hint="eastAsia" w:ascii="黑体" w:hAnsi="黑体" w:eastAsia="黑体" w:cs="黑体"/>
          <w:sz w:val="32"/>
          <w:szCs w:val="32"/>
        </w:rPr>
        <w:t>项目服务要求</w:t>
      </w:r>
    </w:p>
    <w:p>
      <w:pPr>
        <w:numPr>
          <w:ilvl w:val="0"/>
          <w:numId w:val="2"/>
        </w:numPr>
        <w:spacing w:line="578"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提供7*24*365天快速响应服务，设立技术支持热线和24小时专人手机值班，非工作时间4小时内到达现场，紧急时刻2小时到达现场，工作时间立即响应；</w:t>
      </w:r>
    </w:p>
    <w:p>
      <w:pPr>
        <w:numPr>
          <w:ilvl w:val="0"/>
          <w:numId w:val="2"/>
        </w:numPr>
        <w:spacing w:line="578"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提供巡检服务，提供针对维保设备软硬件详细的巡检报告及针对出现问题提出整改意见</w:t>
      </w:r>
      <w:r>
        <w:rPr>
          <w:rFonts w:hint="eastAsia" w:ascii="仿宋_GB2312" w:hAnsi="仿宋_GB2312" w:eastAsia="仿宋_GB2312" w:cs="仿宋_GB2312"/>
          <w:b w:val="0"/>
          <w:bCs w:val="0"/>
          <w:sz w:val="32"/>
          <w:szCs w:val="32"/>
          <w:lang w:val="en-US" w:eastAsia="zh-CN"/>
        </w:rPr>
        <w:t>；</w:t>
      </w:r>
    </w:p>
    <w:p>
      <w:pPr>
        <w:numPr>
          <w:ilvl w:val="0"/>
          <w:numId w:val="2"/>
        </w:numPr>
        <w:spacing w:line="578"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硬件保修服务，当设备出现故障时需4小时内修复故障，如不能修复的必须在8小时内免费提供设备更换、安装及调试，更换后的设备性能及容量不得低于原设备。若中标单位未在以上要求时间内完成硬件保修服务或不能完成备件更换服务，导致业务故障扩大或暂停对外服务超过24小时的，中标单位须赔偿招标单位已合同价的10%作为罚金，甲方有权判定中标单位无法完成履约并中止合同，余下合同款项不再支付。</w:t>
      </w:r>
    </w:p>
    <w:p>
      <w:pPr>
        <w:numPr>
          <w:ilvl w:val="0"/>
          <w:numId w:val="2"/>
        </w:numPr>
        <w:spacing w:line="578"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维护性软件及主版本升级软件支持服务</w:t>
      </w:r>
      <w:r>
        <w:rPr>
          <w:rFonts w:hint="eastAsia" w:ascii="仿宋_GB2312" w:hAnsi="仿宋_GB2312" w:eastAsia="仿宋_GB2312" w:cs="仿宋_GB2312"/>
          <w:b w:val="0"/>
          <w:bCs w:val="0"/>
          <w:sz w:val="32"/>
          <w:szCs w:val="32"/>
          <w:lang w:val="en-US" w:eastAsia="zh-CN"/>
        </w:rPr>
        <w:t>，软件授权序列号、BUG修补文件，升级新版本软件，以及软件配套文档资料；</w:t>
      </w:r>
    </w:p>
    <w:p>
      <w:pPr>
        <w:numPr>
          <w:ilvl w:val="0"/>
          <w:numId w:val="2"/>
        </w:numPr>
        <w:spacing w:line="578"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无线网络服务，服务商需提供一台无线控制器给</w:t>
      </w:r>
      <w:r>
        <w:rPr>
          <w:rFonts w:hint="eastAsia" w:ascii="仿宋_GB2312" w:hAnsi="仿宋_GB2312" w:eastAsia="仿宋_GB2312" w:cs="仿宋_GB2312"/>
          <w:color w:val="auto"/>
          <w:sz w:val="32"/>
          <w:szCs w:val="32"/>
          <w:lang w:val="en-US" w:eastAsia="zh-CN"/>
        </w:rPr>
        <w:t>光明区公共文化艺术发展中心使用，并按照中心要求配置无线网络，以保障无线网络正常对外服务，并实现数据统计功能；</w:t>
      </w:r>
    </w:p>
    <w:p>
      <w:pPr>
        <w:numPr>
          <w:ilvl w:val="0"/>
          <w:numId w:val="2"/>
        </w:numPr>
        <w:spacing w:line="578"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重要时刻保障服务，服务商应对光明区公共文化艺术发展中心重要业务，安排不少于2名综合技术能力、经验丰富的技术工程师对客户信息系统提供技术保障服务</w:t>
      </w:r>
      <w:r>
        <w:rPr>
          <w:rFonts w:hint="eastAsia" w:ascii="仿宋_GB2312" w:hAnsi="仿宋_GB2312" w:eastAsia="仿宋_GB2312" w:cs="仿宋_GB2312"/>
          <w:b w:val="0"/>
          <w:bCs w:val="0"/>
          <w:sz w:val="32"/>
          <w:szCs w:val="32"/>
          <w:lang w:val="en-US" w:eastAsia="zh-CN"/>
        </w:rPr>
        <w:t>；</w:t>
      </w:r>
    </w:p>
    <w:p>
      <w:pPr>
        <w:numPr>
          <w:ilvl w:val="0"/>
          <w:numId w:val="2"/>
        </w:numPr>
        <w:spacing w:line="578"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外围设备服务，提供电脑、打印机、复印件等设备提供40次维保服务。</w:t>
      </w:r>
    </w:p>
    <w:p>
      <w:pPr>
        <w:numPr>
          <w:ilvl w:val="0"/>
          <w:numId w:val="2"/>
        </w:numPr>
        <w:spacing w:line="578"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培训服务，根据光明区公共文化艺术发展中心要求提供不少于5天的培训课程。</w:t>
      </w:r>
    </w:p>
    <w:p>
      <w:pPr>
        <w:spacing w:line="560" w:lineRule="exact"/>
        <w:rPr>
          <w:rFonts w:hint="eastAsia" w:ascii="黑体" w:hAnsi="黑体" w:eastAsia="黑体" w:cs="仿宋"/>
          <w:color w:val="auto"/>
          <w:sz w:val="32"/>
          <w:szCs w:val="32"/>
        </w:rPr>
      </w:pPr>
      <w:r>
        <w:rPr>
          <w:rFonts w:hint="eastAsia" w:ascii="黑体" w:hAnsi="黑体" w:eastAsia="黑体" w:cs="黑体"/>
          <w:color w:val="auto"/>
          <w:sz w:val="32"/>
          <w:szCs w:val="32"/>
        </w:rPr>
        <w:t>三</w:t>
      </w:r>
      <w:r>
        <w:rPr>
          <w:rFonts w:hint="eastAsia" w:ascii="黑体" w:hAnsi="黑体" w:eastAsia="黑体" w:cs="仿宋"/>
          <w:color w:val="auto"/>
          <w:sz w:val="32"/>
          <w:szCs w:val="32"/>
        </w:rPr>
        <w:t>、供应商资格要求</w:t>
      </w:r>
    </w:p>
    <w:p>
      <w:pPr>
        <w:widowControl/>
        <w:spacing w:line="560" w:lineRule="exact"/>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1、具有独立法人资格且经营范围须包含</w:t>
      </w:r>
      <w:r>
        <w:rPr>
          <w:rFonts w:hint="eastAsia" w:ascii="仿宋_GB2312" w:hAnsi="仿宋_GB2312" w:eastAsia="仿宋_GB2312" w:cs="仿宋_GB2312"/>
          <w:b w:val="0"/>
          <w:i w:val="0"/>
          <w:caps w:val="0"/>
          <w:color w:val="000000"/>
          <w:spacing w:val="0"/>
          <w:sz w:val="32"/>
          <w:szCs w:val="32"/>
          <w:shd w:val="clear" w:fill="FFFFFF"/>
        </w:rPr>
        <w:t>计算机软硬件的技术开发和技术咨询</w:t>
      </w:r>
      <w:r>
        <w:rPr>
          <w:rFonts w:hint="eastAsia" w:ascii="仿宋_GB2312" w:hAnsi="仿宋_GB2312" w:eastAsia="仿宋_GB2312" w:cs="仿宋_GB2312"/>
          <w:color w:val="auto"/>
          <w:kern w:val="0"/>
          <w:sz w:val="32"/>
          <w:szCs w:val="32"/>
          <w:lang w:val="en-US" w:eastAsia="zh-CN"/>
        </w:rPr>
        <w:t>资质（提供合法有效的营业执照原件扫描件，原件备查；如深圳企业营业执照未反映经营范围，须提供深圳市市场监督管理局网站关于供应商经营范围查询结果的截图）；</w:t>
      </w:r>
    </w:p>
    <w:p>
      <w:pPr>
        <w:widowControl/>
        <w:spacing w:line="560" w:lineRule="exact"/>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bookmarkStart w:id="1" w:name="_GoBack"/>
      <w:bookmarkEnd w:id="1"/>
      <w:r>
        <w:rPr>
          <w:rFonts w:hint="eastAsia" w:ascii="仿宋_GB2312" w:hAnsi="仿宋_GB2312" w:eastAsia="仿宋_GB2312" w:cs="仿宋_GB2312"/>
          <w:color w:val="auto"/>
          <w:kern w:val="0"/>
          <w:sz w:val="32"/>
          <w:szCs w:val="32"/>
          <w:lang w:val="en-US" w:eastAsia="zh-CN"/>
        </w:rPr>
        <w:t>具备丰富的网络机房运维服务资质（提供公司简介、报价方案、相关服务案例）。</w:t>
      </w:r>
    </w:p>
    <w:p>
      <w:pPr>
        <w:spacing w:line="560" w:lineRule="exact"/>
        <w:rPr>
          <w:rFonts w:hint="eastAsia" w:ascii="黑体" w:hAnsi="黑体" w:eastAsia="黑体" w:cs="仿宋"/>
          <w:color w:val="auto"/>
          <w:sz w:val="32"/>
          <w:szCs w:val="32"/>
        </w:rPr>
      </w:pPr>
      <w:r>
        <w:rPr>
          <w:rFonts w:hint="eastAsia" w:ascii="黑体" w:hAnsi="黑体" w:eastAsia="黑体" w:cs="仿宋"/>
          <w:color w:val="auto"/>
          <w:sz w:val="32"/>
          <w:szCs w:val="32"/>
        </w:rPr>
        <w:t>四、评标定标方法</w:t>
      </w:r>
    </w:p>
    <w:p>
      <w:pPr>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本项目采用综合评分法，得分最高的供应商即为中选供应商。定标结果由</w:t>
      </w:r>
      <w:r>
        <w:rPr>
          <w:rFonts w:hint="eastAsia" w:ascii="仿宋_GB2312" w:hAnsi="仿宋_GB2312" w:eastAsia="仿宋_GB2312" w:cs="仿宋_GB2312"/>
          <w:bCs/>
          <w:sz w:val="32"/>
          <w:szCs w:val="32"/>
          <w:highlight w:val="none"/>
        </w:rPr>
        <w:t>光明区</w:t>
      </w:r>
      <w:r>
        <w:rPr>
          <w:rFonts w:hint="eastAsia" w:ascii="仿宋_GB2312" w:hAnsi="仿宋_GB2312" w:eastAsia="仿宋_GB2312" w:cs="仿宋_GB2312"/>
          <w:bCs/>
          <w:sz w:val="32"/>
          <w:szCs w:val="32"/>
          <w:highlight w:val="none"/>
          <w:lang w:val="en-US" w:eastAsia="zh-CN"/>
        </w:rPr>
        <w:t>公共文化艺术发展中心</w:t>
      </w:r>
      <w:r>
        <w:rPr>
          <w:rFonts w:hint="eastAsia" w:ascii="仿宋_GB2312" w:hAnsi="仿宋_GB2312" w:eastAsia="仿宋_GB2312" w:cs="仿宋_GB2312"/>
          <w:bCs/>
          <w:color w:val="auto"/>
          <w:sz w:val="32"/>
          <w:szCs w:val="32"/>
          <w:highlight w:val="none"/>
          <w:lang w:val="en-US" w:eastAsia="zh-CN"/>
        </w:rPr>
        <w:t>机房网络及配套设备年度维保服务</w:t>
      </w:r>
      <w:r>
        <w:rPr>
          <w:rFonts w:hint="eastAsia" w:ascii="仿宋_GB2312" w:hAnsi="仿宋_GB2312" w:eastAsia="仿宋_GB2312" w:cs="仿宋_GB2312"/>
          <w:color w:val="auto"/>
          <w:sz w:val="32"/>
          <w:szCs w:val="32"/>
        </w:rPr>
        <w:t>采购小组通过中心行政办公会议后共同评审、商定。</w:t>
      </w:r>
    </w:p>
    <w:p>
      <w:pPr>
        <w:spacing w:line="578" w:lineRule="exact"/>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、商务需求</w:t>
      </w:r>
    </w:p>
    <w:p>
      <w:pPr>
        <w:spacing w:line="578" w:lineRule="exact"/>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（一）服务时间：</w:t>
      </w:r>
      <w:r>
        <w:rPr>
          <w:rFonts w:hint="eastAsia" w:ascii="仿宋" w:hAnsi="仿宋" w:eastAsia="仿宋" w:cs="仿宋_GB2312"/>
          <w:color w:val="auto"/>
          <w:sz w:val="32"/>
          <w:szCs w:val="32"/>
          <w:lang w:val="en-US" w:eastAsia="zh-CN"/>
        </w:rPr>
        <w:t>合同签订之日起1年</w:t>
      </w:r>
    </w:p>
    <w:p>
      <w:pPr>
        <w:spacing w:line="578"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（二）交付地点：</w:t>
      </w:r>
      <w:r>
        <w:rPr>
          <w:rFonts w:hint="eastAsia" w:ascii="仿宋_GB2312" w:hAnsi="仿宋_GB2312" w:eastAsia="仿宋_GB2312" w:cs="仿宋_GB2312"/>
          <w:bCs/>
          <w:sz w:val="32"/>
          <w:szCs w:val="32"/>
          <w:highlight w:val="none"/>
        </w:rPr>
        <w:t>光明区</w:t>
      </w:r>
      <w:r>
        <w:rPr>
          <w:rFonts w:hint="eastAsia" w:ascii="仿宋_GB2312" w:hAnsi="仿宋_GB2312" w:eastAsia="仿宋_GB2312" w:cs="仿宋_GB2312"/>
          <w:bCs/>
          <w:sz w:val="32"/>
          <w:szCs w:val="32"/>
          <w:highlight w:val="none"/>
          <w:lang w:val="en-US" w:eastAsia="zh-CN"/>
        </w:rPr>
        <w:t>公共文化艺术发展中心</w:t>
      </w:r>
    </w:p>
    <w:p>
      <w:pPr>
        <w:spacing w:line="578"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（三）报价要求：</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仿宋" w:eastAsia="仿宋_GB2312" w:cs="仿宋"/>
          <w:color w:val="auto"/>
          <w:sz w:val="32"/>
          <w:szCs w:val="32"/>
        </w:rPr>
        <w:t>投标供应商的报价</w:t>
      </w:r>
      <w:r>
        <w:rPr>
          <w:rFonts w:hint="eastAsia" w:ascii="仿宋_GB2312" w:hAnsi="Times New Roman" w:eastAsia="仿宋_GB2312" w:cs="Times New Roman"/>
          <w:color w:val="auto"/>
          <w:sz w:val="32"/>
          <w:szCs w:val="32"/>
        </w:rPr>
        <w:t>不得高于项目预算。</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仿宋_GB2312" w:eastAsia="仿宋_GB2312" w:cs="仿宋_GB2312"/>
          <w:sz w:val="32"/>
          <w:szCs w:val="32"/>
        </w:rPr>
        <w:t>本项目服务费采用包干制，应包括服务成本、法定税费和企业的利润。</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4.提交报价人员</w:t>
      </w:r>
      <w:r>
        <w:rPr>
          <w:rFonts w:hint="eastAsia" w:ascii="仿宋_GB2312" w:hAnsi="仿宋" w:eastAsia="仿宋_GB2312" w:cs="仿宋"/>
          <w:color w:val="auto"/>
          <w:sz w:val="32"/>
          <w:szCs w:val="32"/>
          <w:lang w:eastAsia="zh-CN"/>
        </w:rPr>
        <w:t>如非法定代表人，则</w:t>
      </w:r>
      <w:r>
        <w:rPr>
          <w:rFonts w:hint="eastAsia" w:ascii="仿宋_GB2312" w:hAnsi="仿宋" w:eastAsia="仿宋_GB2312" w:cs="仿宋"/>
          <w:color w:val="auto"/>
          <w:sz w:val="32"/>
          <w:szCs w:val="32"/>
        </w:rPr>
        <w:t>需法定代表人提供授权委托证明</w:t>
      </w:r>
      <w:r>
        <w:rPr>
          <w:rFonts w:hint="eastAsia" w:ascii="仿宋_GB2312" w:hAnsi="仿宋" w:eastAsia="仿宋_GB2312" w:cs="仿宋"/>
          <w:color w:val="auto"/>
          <w:sz w:val="32"/>
          <w:szCs w:val="32"/>
          <w:lang w:eastAsia="zh-CN"/>
        </w:rPr>
        <w:t>。</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7.投标供应商应先到项目地点踏勘以充分了解项目的位置、情况、道路及任何其它足以影响投标报价的情况，任何因忽视或误解项目情况而导致的索赔或服务期限延长申请将不获批准。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rPr>
          <w:rFonts w:ascii="仿宋_GB2312" w:hAnsi="仿宋" w:eastAsia="仿宋_GB2312" w:cs="仿宋"/>
          <w:color w:val="auto"/>
          <w:sz w:val="32"/>
          <w:szCs w:val="32"/>
        </w:rPr>
      </w:pPr>
      <w:r>
        <w:rPr>
          <w:rFonts w:hint="eastAsia" w:ascii="仿宋_GB2312" w:hAnsi="Times New Roman" w:eastAsia="仿宋_GB2312" w:cs="Times New Roman"/>
          <w:color w:val="auto"/>
          <w:sz w:val="32"/>
          <w:szCs w:val="32"/>
        </w:rPr>
        <w:t>（四）</w:t>
      </w:r>
      <w:r>
        <w:rPr>
          <w:rFonts w:hint="eastAsia" w:ascii="仿宋_GB2312" w:hAnsi="仿宋" w:eastAsia="仿宋_GB2312" w:cs="仿宋"/>
          <w:color w:val="auto"/>
          <w:sz w:val="32"/>
          <w:szCs w:val="32"/>
        </w:rPr>
        <w:t>违约责任：供应商未按照合同约定完成服务内容，应向采购方返还已收取的服务总费用，并向采购方支付服务总费用20%的违约金。</w:t>
      </w:r>
    </w:p>
    <w:p>
      <w:pPr>
        <w:spacing w:line="560" w:lineRule="exact"/>
        <w:rPr>
          <w:rFonts w:hint="eastAsia" w:ascii="仿宋_GB2312" w:hAnsi="Times New Roman" w:eastAsia="仿宋_GB2312" w:cs="Times New Roman"/>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五</w:t>
      </w:r>
      <w:r>
        <w:rPr>
          <w:rFonts w:hint="eastAsia" w:ascii="仿宋_GB2312" w:hAnsi="仿宋" w:eastAsia="仿宋_GB2312" w:cs="仿宋"/>
          <w:color w:val="auto"/>
          <w:sz w:val="32"/>
          <w:szCs w:val="32"/>
        </w:rPr>
        <w:t>）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jc w:val="center"/>
        <w:rPr>
          <w:rFonts w:hint="eastAsia" w:eastAsia="宋体"/>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A5F10"/>
    <w:multiLevelType w:val="singleLevel"/>
    <w:tmpl w:val="F06A5F10"/>
    <w:lvl w:ilvl="0" w:tentative="0">
      <w:start w:val="2"/>
      <w:numFmt w:val="chineseCounting"/>
      <w:suff w:val="nothing"/>
      <w:lvlText w:val="%1、"/>
      <w:lvlJc w:val="left"/>
      <w:rPr>
        <w:rFonts w:hint="eastAsia"/>
      </w:rPr>
    </w:lvl>
  </w:abstractNum>
  <w:abstractNum w:abstractNumId="1">
    <w:nsid w:val="7E58E86E"/>
    <w:multiLevelType w:val="singleLevel"/>
    <w:tmpl w:val="7E58E86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54FE"/>
    <w:rsid w:val="00C517C4"/>
    <w:rsid w:val="01095F8C"/>
    <w:rsid w:val="01427780"/>
    <w:rsid w:val="032C17C4"/>
    <w:rsid w:val="03BD291A"/>
    <w:rsid w:val="04CF3C1F"/>
    <w:rsid w:val="067221D6"/>
    <w:rsid w:val="06986E51"/>
    <w:rsid w:val="08D31306"/>
    <w:rsid w:val="090B2278"/>
    <w:rsid w:val="09831197"/>
    <w:rsid w:val="0A5764EC"/>
    <w:rsid w:val="0DBE61DE"/>
    <w:rsid w:val="0E562194"/>
    <w:rsid w:val="0EA7337C"/>
    <w:rsid w:val="103747C3"/>
    <w:rsid w:val="107C1B48"/>
    <w:rsid w:val="1151752D"/>
    <w:rsid w:val="11657F37"/>
    <w:rsid w:val="11C96E56"/>
    <w:rsid w:val="125B1CBF"/>
    <w:rsid w:val="127F216F"/>
    <w:rsid w:val="12E00645"/>
    <w:rsid w:val="138E37D9"/>
    <w:rsid w:val="139F121D"/>
    <w:rsid w:val="14666F5E"/>
    <w:rsid w:val="15647EF7"/>
    <w:rsid w:val="173567F3"/>
    <w:rsid w:val="17AD281A"/>
    <w:rsid w:val="1855208A"/>
    <w:rsid w:val="18B65383"/>
    <w:rsid w:val="1A550B4A"/>
    <w:rsid w:val="1A740595"/>
    <w:rsid w:val="1A885306"/>
    <w:rsid w:val="1CF3499F"/>
    <w:rsid w:val="1D1F0921"/>
    <w:rsid w:val="1D3D1B55"/>
    <w:rsid w:val="1ED83063"/>
    <w:rsid w:val="1F373CBC"/>
    <w:rsid w:val="20575070"/>
    <w:rsid w:val="20695429"/>
    <w:rsid w:val="214624B7"/>
    <w:rsid w:val="2261493B"/>
    <w:rsid w:val="234C55D5"/>
    <w:rsid w:val="23EA17F2"/>
    <w:rsid w:val="24D85956"/>
    <w:rsid w:val="24ED175F"/>
    <w:rsid w:val="250916C1"/>
    <w:rsid w:val="254572F1"/>
    <w:rsid w:val="25F97FE1"/>
    <w:rsid w:val="27066EED"/>
    <w:rsid w:val="27167249"/>
    <w:rsid w:val="288428AF"/>
    <w:rsid w:val="289D3153"/>
    <w:rsid w:val="28B32791"/>
    <w:rsid w:val="297D7CF0"/>
    <w:rsid w:val="29C84CE2"/>
    <w:rsid w:val="29FD3B02"/>
    <w:rsid w:val="2A5F761D"/>
    <w:rsid w:val="2DF07EB9"/>
    <w:rsid w:val="2FCE4E77"/>
    <w:rsid w:val="30FC189F"/>
    <w:rsid w:val="312E29DC"/>
    <w:rsid w:val="32250C73"/>
    <w:rsid w:val="323F331F"/>
    <w:rsid w:val="338B75F5"/>
    <w:rsid w:val="34155F39"/>
    <w:rsid w:val="34480BB1"/>
    <w:rsid w:val="34C13ED4"/>
    <w:rsid w:val="35C37C1D"/>
    <w:rsid w:val="360534A7"/>
    <w:rsid w:val="36763E66"/>
    <w:rsid w:val="36FA3193"/>
    <w:rsid w:val="370740C0"/>
    <w:rsid w:val="38792EBF"/>
    <w:rsid w:val="3B0B24D7"/>
    <w:rsid w:val="3FE95E2E"/>
    <w:rsid w:val="40F25E08"/>
    <w:rsid w:val="4207292E"/>
    <w:rsid w:val="42846315"/>
    <w:rsid w:val="43DC0A62"/>
    <w:rsid w:val="45127B10"/>
    <w:rsid w:val="46480809"/>
    <w:rsid w:val="47EE2E84"/>
    <w:rsid w:val="48665D29"/>
    <w:rsid w:val="493A6B14"/>
    <w:rsid w:val="49B91625"/>
    <w:rsid w:val="4AC8523D"/>
    <w:rsid w:val="4B814DBB"/>
    <w:rsid w:val="4C101C33"/>
    <w:rsid w:val="4C200C59"/>
    <w:rsid w:val="4DC755EE"/>
    <w:rsid w:val="4E2E6085"/>
    <w:rsid w:val="4F6A7264"/>
    <w:rsid w:val="50CF1C95"/>
    <w:rsid w:val="519F7282"/>
    <w:rsid w:val="51AC7357"/>
    <w:rsid w:val="51E814B5"/>
    <w:rsid w:val="53B91FFA"/>
    <w:rsid w:val="53D051F2"/>
    <w:rsid w:val="544366D7"/>
    <w:rsid w:val="550F24F4"/>
    <w:rsid w:val="5551037F"/>
    <w:rsid w:val="55C91864"/>
    <w:rsid w:val="56BA09AE"/>
    <w:rsid w:val="57297F4F"/>
    <w:rsid w:val="572B6E8B"/>
    <w:rsid w:val="58F41C69"/>
    <w:rsid w:val="59966E6F"/>
    <w:rsid w:val="5C1B5B05"/>
    <w:rsid w:val="5C5B02FD"/>
    <w:rsid w:val="5D166FE0"/>
    <w:rsid w:val="5E0822D5"/>
    <w:rsid w:val="5EDE6A2C"/>
    <w:rsid w:val="5F6A1FF1"/>
    <w:rsid w:val="602474E8"/>
    <w:rsid w:val="605A1271"/>
    <w:rsid w:val="60AE2BA7"/>
    <w:rsid w:val="611976D1"/>
    <w:rsid w:val="62DF25EB"/>
    <w:rsid w:val="649301A1"/>
    <w:rsid w:val="64BB583B"/>
    <w:rsid w:val="66431B26"/>
    <w:rsid w:val="6647447C"/>
    <w:rsid w:val="66CB55F0"/>
    <w:rsid w:val="67FC4779"/>
    <w:rsid w:val="69027119"/>
    <w:rsid w:val="697A2E34"/>
    <w:rsid w:val="69F95C4F"/>
    <w:rsid w:val="6A49685F"/>
    <w:rsid w:val="6B937CCB"/>
    <w:rsid w:val="6E141428"/>
    <w:rsid w:val="6EF23617"/>
    <w:rsid w:val="71D7337C"/>
    <w:rsid w:val="72A6140A"/>
    <w:rsid w:val="72D04EE1"/>
    <w:rsid w:val="730E6C49"/>
    <w:rsid w:val="73473D26"/>
    <w:rsid w:val="73B22BA3"/>
    <w:rsid w:val="74553C86"/>
    <w:rsid w:val="74D843AF"/>
    <w:rsid w:val="76B74F3F"/>
    <w:rsid w:val="77DC6D49"/>
    <w:rsid w:val="77F320C3"/>
    <w:rsid w:val="791B405B"/>
    <w:rsid w:val="7A5B27F8"/>
    <w:rsid w:val="7A924968"/>
    <w:rsid w:val="7C844D47"/>
    <w:rsid w:val="7CEC483A"/>
    <w:rsid w:val="7D170C3D"/>
    <w:rsid w:val="7D8A1FEF"/>
    <w:rsid w:val="7EF354FE"/>
    <w:rsid w:val="7F7A12BD"/>
    <w:rsid w:val="7F81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2020-09-24T01:41:00Z</dcterms:created>
  <dc:creator>菱珊</dc:creator>
  <cp:lastModifiedBy> 许德寿.</cp:lastModifiedBy>
  <cp:lastPrinted>2020-11-30T08:21:00Z</cp:lastPrinted>
  <dcterms:modified xsi:type="dcterms:W3CDTF">2020-11-30T09:56:20Z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