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附件: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36"/>
          <w:sz w:val="32"/>
          <w:szCs w:val="32"/>
        </w:rPr>
        <w:t>需求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07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66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洗手间功能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  <w:lang w:eastAsia="zh-CN"/>
              </w:rPr>
              <w:t>设施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、使用功能需满足人性化、智能化；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、洗手间功能设施包括：大小便器采用自动感应装置与手动控制阀门相结合、每个厕位配置纸巾盒、置物架、挂钩、洗手龙头采用自动感应式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、第三洗手间需增加无障碍功能设施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，包括成人坐便器、可折叠儿童安全座椅、多功能折叠台、安全扶手、自动感应冲水设施、自动感应洗手龙头；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、基本设施包括：皂液器、垃圾箱、手纸盒、烘手器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、通风系统要求：优先采用自然排风，机械通风通风设置在适当位置，采用交叉通风方式；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六、指示标志要求：按照高标准要求安装指示标志；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技术需求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一、项目施工贯彻执行各项技术政策、技术规程、规范、标准和技术管理制度。贯彻执行质量管理体系标准。施工组织泥水工组、木工组、水电工组等技术人员熟悉施工图纸，严格按照施工图的要求进行施工，施工图没有特殊规定的施工工艺，按照现行的国家施工规范进行严格施工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二、承包人采购的所有与工程有关的原材料（含半成品、成品）及设备、配件等，其质量必须符合相应的国家优等品产品标准，且满足图纸的要求，必须有产品合格证书和说明书。承包人在这些材料的订购和自采加工之前，应取得业主的同意和批准，必要时应附有材料的样品及其材质和使用的有关说明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三、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其他未尽事宜参考施工合同；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商务需求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一、承包方式：包工包料；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二、工程预算书应为.XLS或.DOS格式文件；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三、工程量清单应以国标清单形式提供；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四、项目合同的总价3%作为工程质量质保金，自工程项目验收合格之日起一年内付清；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一、保修、售后服务要求、发生问题处理意见：所有施工内容质量质保期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  <w:lang w:eastAsia="zh-CN"/>
              </w:rPr>
              <w:t>最低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为二年，发生问题必须在24小时内给予解决；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二、施工图以.dwg格式提供，其他图纸以.jpg或 .bmp格式提供；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三、风格建议：有现代、创意、文艺气息，符合文化馆艺术氛围；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四、应满足空间功能,特别应注重其合理性和实用性以及安全性；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五、根据现场实际情况，按照《深圳市高品质公共厕所建设与管理标准》进行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  <w:lang w:eastAsia="zh-CN"/>
              </w:rPr>
              <w:t>升级改造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C"/>
    <w:rsid w:val="00020348"/>
    <w:rsid w:val="00054AC7"/>
    <w:rsid w:val="000B3053"/>
    <w:rsid w:val="000B7701"/>
    <w:rsid w:val="00163028"/>
    <w:rsid w:val="00190030"/>
    <w:rsid w:val="002105B0"/>
    <w:rsid w:val="00246216"/>
    <w:rsid w:val="002F0EA7"/>
    <w:rsid w:val="00357772"/>
    <w:rsid w:val="003B550D"/>
    <w:rsid w:val="003C6735"/>
    <w:rsid w:val="003E138B"/>
    <w:rsid w:val="00404D1C"/>
    <w:rsid w:val="00423758"/>
    <w:rsid w:val="004531F4"/>
    <w:rsid w:val="004F2AC9"/>
    <w:rsid w:val="00515EB3"/>
    <w:rsid w:val="00581ECE"/>
    <w:rsid w:val="006049A7"/>
    <w:rsid w:val="00650E9F"/>
    <w:rsid w:val="006E577B"/>
    <w:rsid w:val="0070203C"/>
    <w:rsid w:val="007904EB"/>
    <w:rsid w:val="00807FDC"/>
    <w:rsid w:val="00825FD2"/>
    <w:rsid w:val="008A72F7"/>
    <w:rsid w:val="00B325CD"/>
    <w:rsid w:val="00B41FCF"/>
    <w:rsid w:val="00B43099"/>
    <w:rsid w:val="00BD0F45"/>
    <w:rsid w:val="00BE214E"/>
    <w:rsid w:val="00BF6F92"/>
    <w:rsid w:val="00C071D6"/>
    <w:rsid w:val="00C45B26"/>
    <w:rsid w:val="00CC4844"/>
    <w:rsid w:val="00D066BC"/>
    <w:rsid w:val="00D12A96"/>
    <w:rsid w:val="00D65EF7"/>
    <w:rsid w:val="00DF0C4D"/>
    <w:rsid w:val="00EA2673"/>
    <w:rsid w:val="00F364C9"/>
    <w:rsid w:val="00FB3FD9"/>
    <w:rsid w:val="241E32EE"/>
    <w:rsid w:val="45C54A79"/>
    <w:rsid w:val="6A90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Char Char Char"/>
    <w:basedOn w:val="1"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 PC</Company>
  <Pages>2</Pages>
  <Words>150</Words>
  <Characters>855</Characters>
  <Lines>7</Lines>
  <Paragraphs>2</Paragraphs>
  <ScaleCrop>false</ScaleCrop>
  <LinksUpToDate>false</LinksUpToDate>
  <CharactersWithSpaces>1003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2018-01-25T10:10:00Z</dcterms:created>
  <dc:creator>黄要</dc:creator>
  <cp:lastModifiedBy> 许德寿.</cp:lastModifiedBy>
  <dcterms:modified xsi:type="dcterms:W3CDTF">2018-04-17T10:03:16Z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