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4EA46">
      <w:pPr>
        <w:spacing w:line="440" w:lineRule="exact"/>
        <w:jc w:val="center"/>
        <w:rPr>
          <w:rFonts w:hint="eastAsia" w:asciiTheme="minorEastAsia" w:hAnsiTheme="minorEastAsia" w:cstheme="minorEastAsia"/>
          <w:b/>
          <w:bCs/>
          <w:sz w:val="44"/>
          <w:szCs w:val="44"/>
          <w:lang w:eastAsia="zh-CN"/>
        </w:rPr>
      </w:pPr>
      <w:r>
        <w:rPr>
          <w:rFonts w:hint="eastAsia" w:asciiTheme="minorEastAsia" w:hAnsiTheme="minorEastAsia" w:cstheme="minorEastAsia"/>
          <w:b/>
          <w:bCs/>
          <w:sz w:val="44"/>
          <w:szCs w:val="44"/>
        </w:rPr>
        <w:t>光明区</w:t>
      </w:r>
      <w:r>
        <w:rPr>
          <w:rFonts w:hint="eastAsia" w:asciiTheme="minorEastAsia" w:hAnsiTheme="minorEastAsia" w:cstheme="minorEastAsia"/>
          <w:b/>
          <w:bCs/>
          <w:sz w:val="44"/>
          <w:szCs w:val="44"/>
          <w:lang w:eastAsia="zh-CN"/>
        </w:rPr>
        <w:t>公共文化艺术和体育中心</w:t>
      </w:r>
    </w:p>
    <w:p w14:paraId="3CB75D78">
      <w:pPr>
        <w:spacing w:line="440" w:lineRule="exact"/>
        <w:jc w:val="center"/>
        <w:rPr>
          <w:rFonts w:ascii="宋体" w:hAnsi="宋体"/>
          <w:b/>
          <w:bCs/>
          <w:color w:val="000000"/>
          <w:sz w:val="44"/>
          <w:szCs w:val="44"/>
        </w:rPr>
      </w:pPr>
      <w:r>
        <w:rPr>
          <w:rFonts w:hint="eastAsia" w:asciiTheme="minorEastAsia" w:hAnsiTheme="minorEastAsia" w:cstheme="minorEastAsia"/>
          <w:b/>
          <w:bCs/>
          <w:sz w:val="44"/>
          <w:szCs w:val="44"/>
          <w:lang w:val="en-US" w:eastAsia="zh-CN"/>
        </w:rPr>
        <w:t>2026年</w:t>
      </w:r>
      <w:r>
        <w:rPr>
          <w:rFonts w:hint="eastAsia" w:ascii="宋体" w:hAnsi="宋体"/>
          <w:b/>
          <w:bCs/>
          <w:color w:val="000000"/>
          <w:sz w:val="44"/>
          <w:szCs w:val="44"/>
          <w:lang w:val="en-US" w:eastAsia="zh-CN"/>
        </w:rPr>
        <w:t>保险项目需求</w:t>
      </w:r>
    </w:p>
    <w:p w14:paraId="4D1DEDD8">
      <w:pPr>
        <w:tabs>
          <w:tab w:val="left" w:pos="3350"/>
        </w:tabs>
        <w:rPr>
          <w:rFonts w:hint="eastAsia" w:eastAsia="宋体"/>
          <w:b/>
          <w:sz w:val="32"/>
          <w:szCs w:val="32"/>
          <w:lang w:eastAsia="zh-CN"/>
        </w:rPr>
      </w:pPr>
      <w:r>
        <w:rPr>
          <w:rFonts w:hint="eastAsia"/>
          <w:b/>
          <w:sz w:val="32"/>
          <w:szCs w:val="32"/>
          <w:lang w:eastAsia="zh-CN"/>
        </w:rPr>
        <w:tab/>
      </w:r>
    </w:p>
    <w:tbl>
      <w:tblPr>
        <w:tblStyle w:val="7"/>
        <w:tblW w:w="8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596"/>
        <w:gridCol w:w="362"/>
        <w:gridCol w:w="1262"/>
        <w:gridCol w:w="2805"/>
        <w:gridCol w:w="1029"/>
        <w:gridCol w:w="1741"/>
      </w:tblGrid>
      <w:tr w14:paraId="575F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354" w:type="dxa"/>
            <w:gridSpan w:val="2"/>
            <w:tcBorders>
              <w:tl2br w:val="nil"/>
              <w:tr2bl w:val="nil"/>
            </w:tcBorders>
            <w:shd w:val="clear" w:color="auto" w:fill="FFFFFF"/>
            <w:noWrap w:val="0"/>
            <w:vAlign w:val="center"/>
          </w:tcPr>
          <w:p w14:paraId="2B7871EE">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color w:val="auto"/>
                <w:kern w:val="2"/>
                <w:sz w:val="21"/>
                <w:szCs w:val="21"/>
                <w:lang w:val="en-US" w:eastAsia="zh-CN" w:bidi="ar-SA"/>
              </w:rPr>
            </w:pPr>
            <w:r>
              <w:rPr>
                <w:rFonts w:hint="eastAsia"/>
                <w:b/>
                <w:bCs/>
                <w:color w:val="auto"/>
                <w:szCs w:val="21"/>
                <w:lang w:eastAsia="zh-CN"/>
              </w:rPr>
              <w:t>单位名称</w:t>
            </w:r>
            <w:r>
              <w:rPr>
                <w:rFonts w:hint="eastAsia"/>
                <w:b/>
                <w:bCs/>
                <w:color w:val="auto"/>
                <w:szCs w:val="21"/>
              </w:rPr>
              <w:t>：</w:t>
            </w:r>
          </w:p>
        </w:tc>
        <w:tc>
          <w:tcPr>
            <w:tcW w:w="7199" w:type="dxa"/>
            <w:gridSpan w:val="5"/>
            <w:tcBorders>
              <w:tl2br w:val="nil"/>
              <w:tr2bl w:val="nil"/>
            </w:tcBorders>
            <w:shd w:val="clear" w:color="auto" w:fill="FFFFFF"/>
            <w:noWrap w:val="0"/>
            <w:vAlign w:val="center"/>
          </w:tcPr>
          <w:p w14:paraId="765E2E77">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kern w:val="0"/>
                <w:sz w:val="21"/>
                <w:szCs w:val="21"/>
                <w:lang w:val="en-US" w:eastAsia="zh-CN"/>
              </w:rPr>
              <w:t>光明区公共文化艺术和体育中心</w:t>
            </w:r>
          </w:p>
        </w:tc>
      </w:tr>
      <w:tr w14:paraId="0430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354" w:type="dxa"/>
            <w:gridSpan w:val="2"/>
            <w:tcBorders>
              <w:tl2br w:val="nil"/>
              <w:tr2bl w:val="nil"/>
            </w:tcBorders>
            <w:shd w:val="clear" w:color="auto" w:fill="FFFFFF"/>
            <w:noWrap w:val="0"/>
            <w:vAlign w:val="center"/>
          </w:tcPr>
          <w:p w14:paraId="4FFC7B17">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color w:val="auto"/>
                <w:kern w:val="2"/>
                <w:sz w:val="21"/>
                <w:szCs w:val="21"/>
                <w:lang w:val="en-US" w:eastAsia="zh-CN" w:bidi="ar-SA"/>
              </w:rPr>
            </w:pPr>
            <w:r>
              <w:rPr>
                <w:rFonts w:hint="eastAsia"/>
                <w:b/>
                <w:bCs/>
                <w:color w:val="auto"/>
                <w:szCs w:val="21"/>
              </w:rPr>
              <w:t>地  址：</w:t>
            </w:r>
          </w:p>
        </w:tc>
        <w:tc>
          <w:tcPr>
            <w:tcW w:w="7199" w:type="dxa"/>
            <w:gridSpan w:val="5"/>
            <w:tcBorders>
              <w:tl2br w:val="nil"/>
              <w:tr2bl w:val="nil"/>
            </w:tcBorders>
            <w:shd w:val="clear" w:color="auto" w:fill="FFFFFF"/>
            <w:noWrap w:val="0"/>
            <w:vAlign w:val="center"/>
          </w:tcPr>
          <w:p w14:paraId="488A7BE9">
            <w:pPr>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eastAsia="zh-CN"/>
              </w:rPr>
              <w:t>深圳市光明区光明街道泉鸣路与牛山路交汇处</w:t>
            </w:r>
          </w:p>
        </w:tc>
      </w:tr>
      <w:tr w14:paraId="3AD2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1354" w:type="dxa"/>
            <w:gridSpan w:val="2"/>
            <w:tcBorders>
              <w:tl2br w:val="nil"/>
              <w:tr2bl w:val="nil"/>
            </w:tcBorders>
            <w:shd w:val="clear" w:color="auto" w:fill="FFFFFF"/>
            <w:noWrap w:val="0"/>
            <w:vAlign w:val="center"/>
          </w:tcPr>
          <w:p w14:paraId="494C8E0C">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b/>
                <w:bCs/>
                <w:color w:val="auto"/>
                <w:szCs w:val="21"/>
                <w:lang w:eastAsia="zh-CN"/>
              </w:rPr>
            </w:pPr>
            <w:r>
              <w:rPr>
                <w:rFonts w:hint="eastAsia"/>
                <w:b/>
                <w:bCs/>
                <w:color w:val="auto"/>
                <w:szCs w:val="21"/>
                <w:lang w:eastAsia="zh-CN"/>
              </w:rPr>
              <w:t>场馆基本</w:t>
            </w:r>
          </w:p>
          <w:p w14:paraId="0A5468F6">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b/>
                <w:bCs/>
                <w:color w:val="auto"/>
                <w:kern w:val="2"/>
                <w:sz w:val="21"/>
                <w:szCs w:val="21"/>
                <w:lang w:val="en-US" w:eastAsia="zh-CN" w:bidi="ar-SA"/>
              </w:rPr>
            </w:pPr>
            <w:r>
              <w:rPr>
                <w:rFonts w:hint="eastAsia"/>
                <w:b/>
                <w:bCs/>
                <w:color w:val="auto"/>
                <w:szCs w:val="21"/>
                <w:lang w:eastAsia="zh-CN"/>
              </w:rPr>
              <w:t>情况：</w:t>
            </w:r>
          </w:p>
        </w:tc>
        <w:tc>
          <w:tcPr>
            <w:tcW w:w="7199" w:type="dxa"/>
            <w:gridSpan w:val="5"/>
            <w:tcBorders>
              <w:tl2br w:val="nil"/>
              <w:tr2bl w:val="nil"/>
            </w:tcBorders>
            <w:shd w:val="clear" w:color="auto" w:fill="FFFFFF"/>
            <w:noWrap w:val="0"/>
            <w:vAlign w:val="center"/>
          </w:tcPr>
          <w:p w14:paraId="2293AC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color w:val="auto"/>
                <w:lang w:val="en-US" w:eastAsia="zh-CN"/>
              </w:rPr>
            </w:pPr>
            <w:r>
              <w:rPr>
                <w:rFonts w:hint="eastAsia"/>
                <w:color w:val="auto"/>
                <w:lang w:val="en-US" w:eastAsia="zh-CN"/>
              </w:rPr>
              <w:t>光明区公共文化艺术和体育中心下属光明区文化馆、区图书馆、区少年儿童图书馆、传麒山分馆、</w:t>
            </w:r>
            <w:r>
              <w:rPr>
                <w:rFonts w:hint="default"/>
                <w:color w:val="auto"/>
                <w:lang w:val="en-US" w:eastAsia="zh-CN"/>
              </w:rPr>
              <w:t>光明区业余体育学校</w:t>
            </w:r>
            <w:r>
              <w:rPr>
                <w:rFonts w:hint="eastAsia"/>
                <w:color w:val="auto"/>
                <w:lang w:val="en-US" w:eastAsia="zh-CN"/>
              </w:rPr>
              <w:t>。</w:t>
            </w:r>
          </w:p>
          <w:p w14:paraId="572ABA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default"/>
                <w:color w:val="auto"/>
                <w:lang w:val="en-US" w:eastAsia="zh-CN"/>
              </w:rPr>
            </w:pPr>
            <w:r>
              <w:rPr>
                <w:rFonts w:hint="eastAsia"/>
                <w:color w:val="auto"/>
                <w:lang w:val="en-US" w:eastAsia="zh-CN"/>
              </w:rPr>
              <w:t>光明区文化馆、少年儿童图书馆位于光明区公明街道振明路9号（以下简称“两馆”）。“两馆”包含的区域为A座文化馆主楼、B座少年儿童图书馆、C座培训中心、D座剧场、地下室及公共区域。总建筑面积2.592万平米，总占地面积3.6178万平米。A座文化馆主楼总建筑面积4934平方米，共四层，一层为艺术展览区，二层、三层为办公区，四层为培训区；B座少年儿童图书馆总建筑面积6142平方米，共四层，一层为图书馆大堂，二层、三层为读者阅览区，四层为办公区域及多功能报告厅；C座文化馆培训中心总建筑面积5176平方米，共三层，一层为正佳影院大堂，二层、三层为文艺培训区；D座剧场3787平方米，主要举办公益文化演出及会议；</w:t>
            </w:r>
          </w:p>
          <w:p w14:paraId="09AF3D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2" w:firstLineChars="200"/>
              <w:jc w:val="left"/>
              <w:rPr>
                <w:rFonts w:hint="eastAsia"/>
                <w:color w:val="auto"/>
                <w:lang w:val="en-US" w:eastAsia="zh-CN"/>
              </w:rPr>
            </w:pPr>
            <w:r>
              <w:rPr>
                <w:rFonts w:hint="eastAsia"/>
                <w:color w:val="auto"/>
                <w:lang w:val="en-US" w:eastAsia="zh-CN"/>
              </w:rPr>
              <w:t>财产一切险：区文化馆、少年儿童图书馆、区图书馆、区红花山体育中心（中心资产账上涉及的资产）、区群众体育中心（中心资产账上涉及的资产）、区城市规划展览馆（中心资产账上涉及的资产）</w:t>
            </w:r>
            <w:bookmarkStart w:id="0" w:name="_GoBack"/>
            <w:bookmarkEnd w:id="0"/>
          </w:p>
          <w:p w14:paraId="2A0976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2" w:firstLineChars="200"/>
              <w:jc w:val="left"/>
              <w:rPr>
                <w:rFonts w:hint="default"/>
                <w:color w:val="auto"/>
                <w:lang w:val="en-US" w:eastAsia="zh-CN"/>
              </w:rPr>
            </w:pPr>
            <w:r>
              <w:rPr>
                <w:rFonts w:hint="eastAsia"/>
                <w:color w:val="auto"/>
                <w:lang w:val="en-US" w:eastAsia="zh-CN"/>
              </w:rPr>
              <w:t>公众责任险：区文化馆、少年儿童图书馆、传麒山分馆、光明区业余体育学校、24小时书香亭机器（71处）</w:t>
            </w:r>
          </w:p>
        </w:tc>
      </w:tr>
      <w:tr w14:paraId="6731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553" w:type="dxa"/>
            <w:gridSpan w:val="7"/>
            <w:tcBorders>
              <w:tl2br w:val="nil"/>
              <w:tr2bl w:val="nil"/>
            </w:tcBorders>
            <w:shd w:val="clear" w:color="auto" w:fill="FFFFFF"/>
            <w:noWrap w:val="0"/>
            <w:vAlign w:val="center"/>
          </w:tcPr>
          <w:p w14:paraId="077CBD6D">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宋体"/>
                <w:b/>
                <w:bCs/>
                <w:color w:val="auto"/>
                <w:lang w:val="en-US" w:eastAsia="zh-CN"/>
              </w:rPr>
            </w:pPr>
            <w:r>
              <w:rPr>
                <w:rFonts w:hint="eastAsia"/>
                <w:b/>
                <w:bCs/>
                <w:color w:val="auto"/>
                <w:sz w:val="32"/>
                <w:szCs w:val="32"/>
                <w:lang w:val="en-US" w:eastAsia="zh-CN"/>
              </w:rPr>
              <w:t>需求明细</w:t>
            </w:r>
          </w:p>
        </w:tc>
      </w:tr>
      <w:tr w14:paraId="61F0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58" w:type="dxa"/>
            <w:tcBorders>
              <w:tl2br w:val="nil"/>
              <w:tr2bl w:val="nil"/>
            </w:tcBorders>
            <w:shd w:val="clear" w:color="auto" w:fill="FFFFFF"/>
            <w:noWrap w:val="0"/>
            <w:vAlign w:val="center"/>
          </w:tcPr>
          <w:p w14:paraId="16F1A6C7">
            <w:pPr>
              <w:pStyle w:val="2"/>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b/>
                <w:bCs/>
                <w:color w:val="auto"/>
                <w:lang w:val="en-US" w:eastAsia="zh-CN"/>
              </w:rPr>
            </w:pPr>
            <w:r>
              <w:rPr>
                <w:rFonts w:hint="eastAsia"/>
                <w:b/>
                <w:bCs/>
                <w:color w:val="auto"/>
                <w:lang w:val="en-US" w:eastAsia="zh-CN"/>
              </w:rPr>
              <w:t>序号</w:t>
            </w:r>
          </w:p>
        </w:tc>
        <w:tc>
          <w:tcPr>
            <w:tcW w:w="958" w:type="dxa"/>
            <w:gridSpan w:val="2"/>
            <w:tcBorders>
              <w:tl2br w:val="nil"/>
              <w:tr2bl w:val="nil"/>
            </w:tcBorders>
            <w:shd w:val="clear" w:color="auto" w:fill="FFFFFF"/>
            <w:noWrap w:val="0"/>
            <w:vAlign w:val="center"/>
          </w:tcPr>
          <w:p w14:paraId="586E6A82">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b/>
                <w:bCs/>
                <w:color w:val="auto"/>
                <w:lang w:val="en-US" w:eastAsia="zh-CN"/>
              </w:rPr>
            </w:pPr>
            <w:r>
              <w:rPr>
                <w:rFonts w:hint="eastAsia"/>
                <w:b/>
                <w:bCs/>
                <w:color w:val="auto"/>
                <w:lang w:val="en-US" w:eastAsia="zh-CN"/>
              </w:rPr>
              <w:t>保险</w:t>
            </w:r>
          </w:p>
          <w:p w14:paraId="7BCD36B8">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b/>
                <w:bCs/>
                <w:color w:val="auto"/>
                <w:lang w:val="en-US" w:eastAsia="zh-CN"/>
              </w:rPr>
            </w:pPr>
            <w:r>
              <w:rPr>
                <w:rFonts w:hint="eastAsia"/>
                <w:b/>
                <w:bCs/>
                <w:color w:val="auto"/>
                <w:lang w:val="en-US" w:eastAsia="zh-CN"/>
              </w:rPr>
              <w:t>类别</w:t>
            </w:r>
          </w:p>
        </w:tc>
        <w:tc>
          <w:tcPr>
            <w:tcW w:w="1262" w:type="dxa"/>
            <w:tcBorders>
              <w:tl2br w:val="nil"/>
              <w:tr2bl w:val="nil"/>
            </w:tcBorders>
            <w:shd w:val="clear" w:color="auto" w:fill="FFFFFF"/>
            <w:noWrap w:val="0"/>
            <w:vAlign w:val="center"/>
          </w:tcPr>
          <w:p w14:paraId="71C76E4D">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b/>
                <w:bCs/>
                <w:color w:val="auto"/>
                <w:lang w:val="en-US" w:eastAsia="zh-CN"/>
              </w:rPr>
            </w:pPr>
            <w:r>
              <w:rPr>
                <w:rFonts w:hint="eastAsia"/>
                <w:b/>
                <w:bCs/>
                <w:color w:val="auto"/>
                <w:lang w:val="en-US" w:eastAsia="zh-CN"/>
              </w:rPr>
              <w:t>名称</w:t>
            </w:r>
          </w:p>
        </w:tc>
        <w:tc>
          <w:tcPr>
            <w:tcW w:w="2805" w:type="dxa"/>
            <w:tcBorders>
              <w:tl2br w:val="nil"/>
              <w:tr2bl w:val="nil"/>
            </w:tcBorders>
            <w:shd w:val="clear" w:color="auto" w:fill="FFFFFF"/>
            <w:noWrap w:val="0"/>
            <w:vAlign w:val="center"/>
          </w:tcPr>
          <w:p w14:paraId="41386DF1">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b/>
                <w:bCs/>
                <w:color w:val="auto"/>
                <w:lang w:val="en-US" w:eastAsia="zh-CN"/>
              </w:rPr>
            </w:pPr>
            <w:r>
              <w:rPr>
                <w:rFonts w:hint="eastAsia"/>
                <w:b/>
                <w:bCs/>
                <w:color w:val="auto"/>
                <w:lang w:val="en-US" w:eastAsia="zh-CN"/>
              </w:rPr>
              <w:t>保险内容</w:t>
            </w:r>
          </w:p>
        </w:tc>
        <w:tc>
          <w:tcPr>
            <w:tcW w:w="1029" w:type="dxa"/>
            <w:tcBorders>
              <w:tl2br w:val="nil"/>
              <w:tr2bl w:val="nil"/>
            </w:tcBorders>
            <w:shd w:val="clear" w:color="auto" w:fill="FFFFFF"/>
            <w:noWrap w:val="0"/>
            <w:vAlign w:val="center"/>
          </w:tcPr>
          <w:p w14:paraId="048D807B">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b/>
                <w:bCs/>
                <w:color w:val="auto"/>
                <w:lang w:val="en-US" w:eastAsia="zh-CN"/>
              </w:rPr>
            </w:pPr>
            <w:r>
              <w:rPr>
                <w:rFonts w:hint="eastAsia"/>
                <w:b/>
                <w:bCs/>
                <w:color w:val="auto"/>
                <w:lang w:val="en-US" w:eastAsia="zh-CN"/>
              </w:rPr>
              <w:t>赔偿限额（人民币）</w:t>
            </w:r>
          </w:p>
        </w:tc>
        <w:tc>
          <w:tcPr>
            <w:tcW w:w="1741" w:type="dxa"/>
            <w:tcBorders>
              <w:tl2br w:val="nil"/>
              <w:tr2bl w:val="nil"/>
            </w:tcBorders>
            <w:shd w:val="clear" w:color="auto" w:fill="FFFFFF"/>
            <w:noWrap w:val="0"/>
            <w:vAlign w:val="center"/>
          </w:tcPr>
          <w:p w14:paraId="7E85D7D7">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b/>
                <w:bCs/>
                <w:color w:val="auto"/>
                <w:lang w:val="en-US" w:eastAsia="zh-CN"/>
              </w:rPr>
            </w:pPr>
            <w:r>
              <w:rPr>
                <w:rFonts w:hint="eastAsia"/>
                <w:b/>
                <w:bCs/>
                <w:color w:val="auto"/>
                <w:lang w:val="en-US" w:eastAsia="zh-CN"/>
              </w:rPr>
              <w:t>备注</w:t>
            </w:r>
          </w:p>
        </w:tc>
      </w:tr>
      <w:tr w14:paraId="564F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8" w:type="dxa"/>
            <w:tcBorders>
              <w:tl2br w:val="nil"/>
              <w:tr2bl w:val="nil"/>
            </w:tcBorders>
            <w:shd w:val="clear" w:color="auto" w:fill="FFFFFF"/>
            <w:noWrap w:val="0"/>
            <w:vAlign w:val="center"/>
          </w:tcPr>
          <w:p w14:paraId="685EA4D7">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color w:val="auto"/>
                <w:lang w:val="en-US" w:eastAsia="zh-CN"/>
              </w:rPr>
              <w:t>1</w:t>
            </w:r>
          </w:p>
        </w:tc>
        <w:tc>
          <w:tcPr>
            <w:tcW w:w="958" w:type="dxa"/>
            <w:gridSpan w:val="2"/>
            <w:vMerge w:val="restart"/>
            <w:tcBorders>
              <w:tl2br w:val="nil"/>
              <w:tr2bl w:val="nil"/>
            </w:tcBorders>
            <w:shd w:val="clear" w:color="auto" w:fill="FFFFFF"/>
            <w:noWrap w:val="0"/>
            <w:vAlign w:val="center"/>
          </w:tcPr>
          <w:p w14:paraId="1D49F7B2">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s="Times New Roman"/>
                <w:color w:val="auto"/>
                <w:kern w:val="2"/>
                <w:sz w:val="21"/>
                <w:szCs w:val="22"/>
                <w:lang w:val="en-US" w:eastAsia="zh-CN" w:bidi="ar-SA"/>
              </w:rPr>
            </w:pPr>
            <w:r>
              <w:rPr>
                <w:rFonts w:hint="eastAsia" w:cs="Times New Roman"/>
                <w:color w:val="auto"/>
                <w:kern w:val="2"/>
                <w:sz w:val="21"/>
                <w:szCs w:val="22"/>
                <w:lang w:val="en-US" w:eastAsia="zh-CN" w:bidi="ar-SA"/>
              </w:rPr>
              <w:t>财产</w:t>
            </w:r>
          </w:p>
          <w:p w14:paraId="6CC65901">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一切险</w:t>
            </w:r>
          </w:p>
        </w:tc>
        <w:tc>
          <w:tcPr>
            <w:tcW w:w="1262" w:type="dxa"/>
            <w:tcBorders>
              <w:tl2br w:val="nil"/>
              <w:tr2bl w:val="nil"/>
            </w:tcBorders>
            <w:shd w:val="clear" w:color="auto" w:fill="FFFFFF"/>
            <w:noWrap w:val="0"/>
            <w:vAlign w:val="center"/>
          </w:tcPr>
          <w:p w14:paraId="3D06A142">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r>
              <w:rPr>
                <w:rFonts w:hint="eastAsia"/>
                <w:color w:val="auto"/>
                <w:lang w:eastAsia="zh-CN"/>
              </w:rPr>
              <w:t>建筑物</w:t>
            </w:r>
          </w:p>
        </w:tc>
        <w:tc>
          <w:tcPr>
            <w:tcW w:w="2805" w:type="dxa"/>
            <w:tcBorders>
              <w:tl2br w:val="nil"/>
              <w:tr2bl w:val="nil"/>
            </w:tcBorders>
            <w:shd w:val="clear" w:color="auto" w:fill="FFFFFF"/>
            <w:noWrap w:val="0"/>
            <w:vAlign w:val="center"/>
          </w:tcPr>
          <w:p w14:paraId="20E5F244">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color w:val="auto"/>
                <w:lang w:val="en-US" w:eastAsia="zh-CN"/>
              </w:rPr>
              <w:t>光明区公共文化艺术和体育中心资产清单内场馆建筑物（含装修）</w:t>
            </w:r>
          </w:p>
        </w:tc>
        <w:tc>
          <w:tcPr>
            <w:tcW w:w="1029" w:type="dxa"/>
            <w:tcBorders>
              <w:tl2br w:val="nil"/>
              <w:tr2bl w:val="nil"/>
            </w:tcBorders>
            <w:shd w:val="clear" w:color="auto" w:fill="FFFFFF"/>
            <w:noWrap w:val="0"/>
            <w:vAlign w:val="center"/>
          </w:tcPr>
          <w:p w14:paraId="5F0CFB7E">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ascii="Arial" w:hAnsi="Arial" w:eastAsia="宋体" w:cs="Arial"/>
                <w:i w:val="0"/>
                <w:caps w:val="0"/>
                <w:color w:val="auto"/>
                <w:spacing w:val="0"/>
                <w:sz w:val="21"/>
                <w:szCs w:val="21"/>
                <w:shd w:val="clear" w:color="auto" w:fill="FFFFFF"/>
              </w:rPr>
              <w:t>≥</w:t>
            </w:r>
            <w:r>
              <w:rPr>
                <w:rFonts w:hint="eastAsia"/>
                <w:color w:val="auto"/>
                <w:lang w:val="en-US" w:eastAsia="zh-CN"/>
              </w:rPr>
              <w:t>3.1</w:t>
            </w:r>
          </w:p>
          <w:p w14:paraId="7E569E0D">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color w:val="auto"/>
                <w:lang w:val="en-US" w:eastAsia="zh-CN"/>
              </w:rPr>
              <w:t>亿元</w:t>
            </w:r>
          </w:p>
        </w:tc>
        <w:tc>
          <w:tcPr>
            <w:tcW w:w="1741" w:type="dxa"/>
            <w:tcBorders>
              <w:tl2br w:val="nil"/>
              <w:tr2bl w:val="nil"/>
            </w:tcBorders>
            <w:shd w:val="clear" w:color="auto" w:fill="FFFFFF"/>
            <w:noWrap w:val="0"/>
            <w:vAlign w:val="center"/>
          </w:tcPr>
          <w:p w14:paraId="7507CA57">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69A2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58" w:type="dxa"/>
            <w:tcBorders>
              <w:tl2br w:val="nil"/>
              <w:tr2bl w:val="nil"/>
            </w:tcBorders>
            <w:shd w:val="clear" w:color="auto" w:fill="FFFFFF"/>
            <w:noWrap w:val="0"/>
            <w:vAlign w:val="center"/>
          </w:tcPr>
          <w:p w14:paraId="421E0803">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color w:val="auto"/>
                <w:lang w:val="en-US" w:eastAsia="zh-CN"/>
              </w:rPr>
              <w:t>2</w:t>
            </w:r>
          </w:p>
        </w:tc>
        <w:tc>
          <w:tcPr>
            <w:tcW w:w="958" w:type="dxa"/>
            <w:gridSpan w:val="2"/>
            <w:vMerge w:val="continue"/>
            <w:tcBorders>
              <w:tl2br w:val="nil"/>
              <w:tr2bl w:val="nil"/>
            </w:tcBorders>
            <w:shd w:val="clear" w:color="auto" w:fill="FFFFFF"/>
            <w:noWrap w:val="0"/>
            <w:vAlign w:val="center"/>
          </w:tcPr>
          <w:p w14:paraId="37DE236C">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color w:val="auto"/>
                <w:kern w:val="2"/>
                <w:sz w:val="21"/>
                <w:szCs w:val="22"/>
                <w:lang w:val="en-US" w:eastAsia="zh-CN" w:bidi="ar-SA"/>
              </w:rPr>
            </w:pPr>
          </w:p>
        </w:tc>
        <w:tc>
          <w:tcPr>
            <w:tcW w:w="1262" w:type="dxa"/>
            <w:tcBorders>
              <w:tl2br w:val="nil"/>
              <w:tr2bl w:val="nil"/>
            </w:tcBorders>
            <w:shd w:val="clear" w:color="auto" w:fill="FFFFFF"/>
            <w:noWrap w:val="0"/>
            <w:vAlign w:val="center"/>
          </w:tcPr>
          <w:p w14:paraId="5165860D">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highlight w:val="none"/>
                <w:lang w:eastAsia="zh-CN"/>
              </w:rPr>
            </w:pPr>
            <w:r>
              <w:rPr>
                <w:rFonts w:hint="eastAsia"/>
                <w:color w:val="auto"/>
                <w:highlight w:val="none"/>
                <w:lang w:eastAsia="zh-CN"/>
              </w:rPr>
              <w:t>场馆设备</w:t>
            </w:r>
          </w:p>
        </w:tc>
        <w:tc>
          <w:tcPr>
            <w:tcW w:w="2805" w:type="dxa"/>
            <w:tcBorders>
              <w:tl2br w:val="nil"/>
              <w:tr2bl w:val="nil"/>
            </w:tcBorders>
            <w:shd w:val="clear" w:color="auto" w:fill="FFFFFF"/>
            <w:noWrap w:val="0"/>
            <w:vAlign w:val="center"/>
          </w:tcPr>
          <w:p w14:paraId="7E2AD6FF">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highlight w:val="none"/>
                <w:lang w:eastAsia="zh-CN"/>
              </w:rPr>
            </w:pPr>
            <w:r>
              <w:rPr>
                <w:rFonts w:hint="eastAsia"/>
                <w:color w:val="auto"/>
                <w:highlight w:val="none"/>
              </w:rPr>
              <w:t>办公设备+电子设备（</w:t>
            </w:r>
            <w:r>
              <w:rPr>
                <w:rFonts w:hint="eastAsia"/>
                <w:color w:val="auto"/>
                <w:highlight w:val="none"/>
                <w:lang w:eastAsia="zh-CN"/>
              </w:rPr>
              <w:t>含</w:t>
            </w:r>
            <w:r>
              <w:rPr>
                <w:rFonts w:hint="eastAsia"/>
                <w:color w:val="auto"/>
                <w:highlight w:val="none"/>
              </w:rPr>
              <w:t>机器设备、配电设备、消防设备、监控设备</w:t>
            </w:r>
            <w:r>
              <w:rPr>
                <w:rFonts w:hint="eastAsia"/>
                <w:color w:val="auto"/>
                <w:highlight w:val="none"/>
                <w:lang w:eastAsia="zh-CN"/>
              </w:rPr>
              <w:t>、专用设备、通用设备、</w:t>
            </w:r>
            <w:r>
              <w:rPr>
                <w:rFonts w:hint="eastAsia"/>
                <w:color w:val="auto"/>
                <w:highlight w:val="none"/>
                <w:lang w:val="en-US" w:eastAsia="zh-CN"/>
              </w:rPr>
              <w:t>24小时书香亭机器设备及玻璃防护罩（71个）</w:t>
            </w:r>
            <w:r>
              <w:rPr>
                <w:rFonts w:hint="eastAsia"/>
                <w:color w:val="auto"/>
                <w:highlight w:val="none"/>
                <w:lang w:eastAsia="zh-CN"/>
              </w:rPr>
              <w:t>等</w:t>
            </w:r>
            <w:r>
              <w:rPr>
                <w:rFonts w:hint="eastAsia"/>
                <w:color w:val="auto"/>
                <w:highlight w:val="none"/>
              </w:rPr>
              <w:t>）</w:t>
            </w:r>
          </w:p>
        </w:tc>
        <w:tc>
          <w:tcPr>
            <w:tcW w:w="1029" w:type="dxa"/>
            <w:tcBorders>
              <w:tl2br w:val="nil"/>
              <w:tr2bl w:val="nil"/>
            </w:tcBorders>
            <w:shd w:val="clear" w:color="auto" w:fill="FFFFFF"/>
            <w:noWrap w:val="0"/>
            <w:vAlign w:val="center"/>
          </w:tcPr>
          <w:p w14:paraId="4E3F8349">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ascii="Arial" w:hAnsi="Arial" w:eastAsia="宋体" w:cs="Arial"/>
                <w:i w:val="0"/>
                <w:caps w:val="0"/>
                <w:color w:val="auto"/>
                <w:spacing w:val="0"/>
                <w:sz w:val="21"/>
                <w:szCs w:val="21"/>
                <w:shd w:val="clear" w:color="auto" w:fill="FFFFFF"/>
              </w:rPr>
              <w:t>≥</w:t>
            </w:r>
            <w:r>
              <w:rPr>
                <w:rFonts w:hint="eastAsia"/>
                <w:color w:val="auto"/>
                <w:lang w:val="en-US" w:eastAsia="zh-CN"/>
              </w:rPr>
              <w:t>1.51亿元</w:t>
            </w:r>
          </w:p>
        </w:tc>
        <w:tc>
          <w:tcPr>
            <w:tcW w:w="1741" w:type="dxa"/>
            <w:tcBorders>
              <w:tl2br w:val="nil"/>
              <w:tr2bl w:val="nil"/>
            </w:tcBorders>
            <w:shd w:val="clear" w:color="auto" w:fill="FFFFFF"/>
            <w:noWrap w:val="0"/>
            <w:vAlign w:val="center"/>
          </w:tcPr>
          <w:p w14:paraId="062AF847">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color w:val="auto"/>
                <w:lang w:val="en-US" w:eastAsia="zh-CN"/>
              </w:rPr>
              <w:t xml:space="preserve">区文化馆、少年儿童图书馆5000万；区图书馆6100万元；                      </w:t>
            </w:r>
            <w:r>
              <w:rPr>
                <w:rFonts w:hint="eastAsia"/>
                <w:color w:val="auto"/>
                <w:highlight w:val="none"/>
                <w:lang w:val="en-US" w:eastAsia="zh-CN"/>
              </w:rPr>
              <w:t>24小时书香亭机器设备及玻璃防护罩：4000万</w:t>
            </w:r>
          </w:p>
        </w:tc>
      </w:tr>
      <w:tr w14:paraId="6736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58" w:type="dxa"/>
            <w:tcBorders>
              <w:tl2br w:val="nil"/>
              <w:tr2bl w:val="nil"/>
            </w:tcBorders>
            <w:shd w:val="clear" w:color="auto" w:fill="FFFFFF"/>
            <w:noWrap w:val="0"/>
            <w:vAlign w:val="center"/>
          </w:tcPr>
          <w:p w14:paraId="3FB7051D">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color w:val="auto"/>
                <w:lang w:val="en-US" w:eastAsia="zh-CN"/>
              </w:rPr>
              <w:t>3</w:t>
            </w:r>
          </w:p>
        </w:tc>
        <w:tc>
          <w:tcPr>
            <w:tcW w:w="958" w:type="dxa"/>
            <w:gridSpan w:val="2"/>
            <w:vMerge w:val="continue"/>
            <w:tcBorders>
              <w:tl2br w:val="nil"/>
              <w:tr2bl w:val="nil"/>
            </w:tcBorders>
            <w:shd w:val="clear" w:color="auto" w:fill="FFFFFF"/>
            <w:noWrap w:val="0"/>
            <w:vAlign w:val="center"/>
          </w:tcPr>
          <w:p w14:paraId="47DD4092">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color w:val="auto"/>
                <w:kern w:val="2"/>
                <w:sz w:val="21"/>
                <w:szCs w:val="22"/>
                <w:lang w:val="en-US" w:eastAsia="zh-CN" w:bidi="ar-SA"/>
              </w:rPr>
            </w:pPr>
          </w:p>
        </w:tc>
        <w:tc>
          <w:tcPr>
            <w:tcW w:w="1262" w:type="dxa"/>
            <w:tcBorders>
              <w:tl2br w:val="nil"/>
              <w:tr2bl w:val="nil"/>
            </w:tcBorders>
            <w:shd w:val="clear" w:color="auto" w:fill="FFFFFF"/>
            <w:noWrap w:val="0"/>
            <w:vAlign w:val="center"/>
          </w:tcPr>
          <w:p w14:paraId="7227FDAE">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r>
              <w:rPr>
                <w:rFonts w:hint="eastAsia"/>
                <w:color w:val="auto"/>
                <w:lang w:val="en-US" w:eastAsia="zh-CN"/>
              </w:rPr>
              <w:t>特种动植物</w:t>
            </w:r>
          </w:p>
        </w:tc>
        <w:tc>
          <w:tcPr>
            <w:tcW w:w="2805" w:type="dxa"/>
            <w:tcBorders>
              <w:tl2br w:val="nil"/>
              <w:tr2bl w:val="nil"/>
            </w:tcBorders>
            <w:shd w:val="clear" w:color="auto" w:fill="FFFFFF"/>
            <w:noWrap w:val="0"/>
            <w:vAlign w:val="center"/>
          </w:tcPr>
          <w:p w14:paraId="1122E256">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val="en-US" w:eastAsia="zh-CN"/>
              </w:rPr>
            </w:pPr>
            <w:r>
              <w:rPr>
                <w:rFonts w:hint="eastAsia"/>
                <w:color w:val="auto"/>
                <w:lang w:val="en-US" w:eastAsia="zh-CN"/>
              </w:rPr>
              <w:t>特种动植物一项</w:t>
            </w:r>
          </w:p>
        </w:tc>
        <w:tc>
          <w:tcPr>
            <w:tcW w:w="1029" w:type="dxa"/>
            <w:tcBorders>
              <w:tl2br w:val="nil"/>
              <w:tr2bl w:val="nil"/>
            </w:tcBorders>
            <w:shd w:val="clear" w:color="auto" w:fill="FFFFFF"/>
            <w:noWrap w:val="0"/>
            <w:vAlign w:val="center"/>
          </w:tcPr>
          <w:p w14:paraId="1E35B914">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color w:val="auto"/>
                <w:lang w:val="en-US" w:eastAsia="zh-CN"/>
              </w:rPr>
              <w:t>≥10万元</w:t>
            </w:r>
          </w:p>
        </w:tc>
        <w:tc>
          <w:tcPr>
            <w:tcW w:w="1741" w:type="dxa"/>
            <w:tcBorders>
              <w:tl2br w:val="nil"/>
              <w:tr2bl w:val="nil"/>
            </w:tcBorders>
            <w:shd w:val="clear" w:color="auto" w:fill="FFFFFF"/>
            <w:noWrap w:val="0"/>
            <w:vAlign w:val="center"/>
          </w:tcPr>
          <w:p w14:paraId="4E0A2E20">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val="en-US" w:eastAsia="zh-CN"/>
              </w:rPr>
            </w:pPr>
          </w:p>
        </w:tc>
      </w:tr>
      <w:tr w14:paraId="0CAF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58" w:type="dxa"/>
            <w:tcBorders>
              <w:tl2br w:val="nil"/>
              <w:tr2bl w:val="nil"/>
            </w:tcBorders>
            <w:shd w:val="clear" w:color="auto" w:fill="FFFFFF"/>
            <w:noWrap w:val="0"/>
            <w:vAlign w:val="center"/>
          </w:tcPr>
          <w:p w14:paraId="7F565F15">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color w:val="auto"/>
                <w:lang w:val="en-US" w:eastAsia="zh-CN"/>
              </w:rPr>
              <w:t>4</w:t>
            </w:r>
          </w:p>
        </w:tc>
        <w:tc>
          <w:tcPr>
            <w:tcW w:w="958" w:type="dxa"/>
            <w:gridSpan w:val="2"/>
            <w:vMerge w:val="continue"/>
            <w:tcBorders>
              <w:tl2br w:val="nil"/>
              <w:tr2bl w:val="nil"/>
            </w:tcBorders>
            <w:shd w:val="clear" w:color="auto" w:fill="FFFFFF"/>
            <w:noWrap w:val="0"/>
            <w:vAlign w:val="center"/>
          </w:tcPr>
          <w:p w14:paraId="413342A5">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color w:val="auto"/>
                <w:kern w:val="2"/>
                <w:sz w:val="21"/>
                <w:szCs w:val="22"/>
                <w:lang w:val="en-US" w:eastAsia="zh-CN" w:bidi="ar-SA"/>
              </w:rPr>
            </w:pPr>
          </w:p>
        </w:tc>
        <w:tc>
          <w:tcPr>
            <w:tcW w:w="1262" w:type="dxa"/>
            <w:tcBorders>
              <w:tl2br w:val="nil"/>
              <w:tr2bl w:val="nil"/>
            </w:tcBorders>
            <w:shd w:val="clear" w:color="auto" w:fill="FFFFFF"/>
            <w:noWrap w:val="0"/>
            <w:vAlign w:val="center"/>
          </w:tcPr>
          <w:p w14:paraId="0ECB3C0E">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r>
              <w:rPr>
                <w:rFonts w:hint="eastAsia"/>
                <w:color w:val="auto"/>
                <w:lang w:val="en-US" w:eastAsia="zh-CN"/>
              </w:rPr>
              <w:t>场馆家具</w:t>
            </w:r>
          </w:p>
        </w:tc>
        <w:tc>
          <w:tcPr>
            <w:tcW w:w="2805" w:type="dxa"/>
            <w:tcBorders>
              <w:tl2br w:val="nil"/>
              <w:tr2bl w:val="nil"/>
            </w:tcBorders>
            <w:shd w:val="clear" w:color="auto" w:fill="FFFFFF"/>
            <w:noWrap w:val="0"/>
            <w:vAlign w:val="center"/>
          </w:tcPr>
          <w:p w14:paraId="76331E9E">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val="en-US" w:eastAsia="zh-CN"/>
              </w:rPr>
            </w:pPr>
            <w:r>
              <w:rPr>
                <w:rFonts w:hint="eastAsia"/>
                <w:color w:val="auto"/>
                <w:lang w:val="en-US" w:eastAsia="zh-CN"/>
              </w:rPr>
              <w:t>家具、用具、装具等</w:t>
            </w:r>
          </w:p>
        </w:tc>
        <w:tc>
          <w:tcPr>
            <w:tcW w:w="1029" w:type="dxa"/>
            <w:tcBorders>
              <w:tl2br w:val="nil"/>
              <w:tr2bl w:val="nil"/>
            </w:tcBorders>
            <w:shd w:val="clear" w:color="auto" w:fill="FFFFFF"/>
            <w:noWrap w:val="0"/>
            <w:vAlign w:val="center"/>
          </w:tcPr>
          <w:p w14:paraId="08CA2EEA">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color w:val="auto"/>
                <w:lang w:val="en-US" w:eastAsia="zh-CN"/>
              </w:rPr>
              <w:t>≥3400</w:t>
            </w:r>
          </w:p>
          <w:p w14:paraId="66EFFE93">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val="en-US" w:eastAsia="zh-CN"/>
              </w:rPr>
            </w:pPr>
            <w:r>
              <w:rPr>
                <w:rFonts w:hint="eastAsia"/>
                <w:color w:val="auto"/>
                <w:lang w:val="en-US" w:eastAsia="zh-CN"/>
              </w:rPr>
              <w:t>万元</w:t>
            </w:r>
          </w:p>
        </w:tc>
        <w:tc>
          <w:tcPr>
            <w:tcW w:w="1741" w:type="dxa"/>
            <w:tcBorders>
              <w:tl2br w:val="nil"/>
              <w:tr2bl w:val="nil"/>
            </w:tcBorders>
            <w:shd w:val="clear" w:color="auto" w:fill="FFFFFF"/>
            <w:noWrap w:val="0"/>
            <w:vAlign w:val="center"/>
          </w:tcPr>
          <w:p w14:paraId="166BDEE5">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color w:val="auto"/>
                <w:lang w:val="en-US" w:eastAsia="zh-CN"/>
              </w:rPr>
              <w:t>区图书馆2000万；                  区文化馆、少年儿童图书馆1400万</w:t>
            </w:r>
          </w:p>
        </w:tc>
      </w:tr>
      <w:tr w14:paraId="63ED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758" w:type="dxa"/>
            <w:tcBorders>
              <w:tl2br w:val="nil"/>
              <w:tr2bl w:val="nil"/>
            </w:tcBorders>
            <w:shd w:val="clear" w:color="auto" w:fill="FFFFFF"/>
            <w:noWrap w:val="0"/>
            <w:vAlign w:val="center"/>
          </w:tcPr>
          <w:p w14:paraId="4DE40B48">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color w:val="auto"/>
                <w:lang w:val="en-US" w:eastAsia="zh-CN"/>
              </w:rPr>
              <w:t>5</w:t>
            </w:r>
          </w:p>
        </w:tc>
        <w:tc>
          <w:tcPr>
            <w:tcW w:w="958" w:type="dxa"/>
            <w:gridSpan w:val="2"/>
            <w:vMerge w:val="continue"/>
            <w:tcBorders>
              <w:tl2br w:val="nil"/>
              <w:tr2bl w:val="nil"/>
            </w:tcBorders>
            <w:shd w:val="clear" w:color="auto" w:fill="FFFFFF"/>
            <w:noWrap w:val="0"/>
            <w:vAlign w:val="center"/>
          </w:tcPr>
          <w:p w14:paraId="36495E6A">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color w:val="auto"/>
                <w:kern w:val="2"/>
                <w:sz w:val="21"/>
                <w:szCs w:val="22"/>
                <w:lang w:val="en-US" w:eastAsia="zh-CN" w:bidi="ar-SA"/>
              </w:rPr>
            </w:pPr>
          </w:p>
        </w:tc>
        <w:tc>
          <w:tcPr>
            <w:tcW w:w="1262" w:type="dxa"/>
            <w:tcBorders>
              <w:tl2br w:val="nil"/>
              <w:tr2bl w:val="nil"/>
            </w:tcBorders>
            <w:shd w:val="clear" w:color="auto" w:fill="FFFFFF"/>
            <w:noWrap w:val="0"/>
            <w:vAlign w:val="center"/>
          </w:tcPr>
          <w:p w14:paraId="26CDC630">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r>
              <w:rPr>
                <w:rFonts w:hint="eastAsia"/>
                <w:color w:val="auto"/>
                <w:lang w:eastAsia="zh-CN"/>
              </w:rPr>
              <w:t>图书和档案</w:t>
            </w:r>
          </w:p>
        </w:tc>
        <w:tc>
          <w:tcPr>
            <w:tcW w:w="2805" w:type="dxa"/>
            <w:tcBorders>
              <w:tl2br w:val="nil"/>
              <w:tr2bl w:val="nil"/>
            </w:tcBorders>
            <w:shd w:val="clear" w:color="auto" w:fill="FFFFFF"/>
            <w:noWrap w:val="0"/>
            <w:vAlign w:val="center"/>
          </w:tcPr>
          <w:p w14:paraId="6B0F1451">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color w:val="auto"/>
                <w:lang w:eastAsia="zh-CN"/>
              </w:rPr>
              <w:t>少年儿童图书馆</w:t>
            </w:r>
            <w:r>
              <w:rPr>
                <w:rFonts w:hint="eastAsia"/>
                <w:color w:val="auto"/>
                <w:lang w:val="en-US" w:eastAsia="zh-CN"/>
              </w:rPr>
              <w:t>+</w:t>
            </w:r>
            <w:r>
              <w:rPr>
                <w:rFonts w:hint="eastAsia"/>
                <w:color w:val="auto"/>
                <w:lang w:eastAsia="zh-CN"/>
              </w:rPr>
              <w:t>传麒山分馆</w:t>
            </w:r>
            <w:r>
              <w:rPr>
                <w:rFonts w:hint="eastAsia"/>
                <w:color w:val="auto"/>
                <w:lang w:val="en-US" w:eastAsia="zh-CN"/>
              </w:rPr>
              <w:t>+区文化馆+区图书馆（图书、档案）</w:t>
            </w:r>
          </w:p>
        </w:tc>
        <w:tc>
          <w:tcPr>
            <w:tcW w:w="1029" w:type="dxa"/>
            <w:tcBorders>
              <w:tl2br w:val="nil"/>
              <w:tr2bl w:val="nil"/>
            </w:tcBorders>
            <w:shd w:val="clear" w:color="auto" w:fill="FFFFFF"/>
            <w:noWrap w:val="0"/>
            <w:vAlign w:val="center"/>
          </w:tcPr>
          <w:p w14:paraId="4402CF39">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ascii="Arial" w:hAnsi="Arial" w:eastAsia="宋体" w:cs="Arial"/>
                <w:i w:val="0"/>
                <w:caps w:val="0"/>
                <w:color w:val="auto"/>
                <w:spacing w:val="0"/>
                <w:sz w:val="21"/>
                <w:szCs w:val="21"/>
                <w:shd w:val="clear" w:color="auto" w:fill="FFFFFF"/>
              </w:rPr>
              <w:t>≥</w:t>
            </w:r>
            <w:r>
              <w:rPr>
                <w:rFonts w:hint="eastAsia"/>
                <w:color w:val="auto"/>
                <w:lang w:val="en-US" w:eastAsia="zh-CN"/>
              </w:rPr>
              <w:t>4800</w:t>
            </w:r>
          </w:p>
          <w:p w14:paraId="0C8F383D">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val="en-US" w:eastAsia="zh-CN"/>
              </w:rPr>
            </w:pPr>
            <w:r>
              <w:rPr>
                <w:rFonts w:hint="eastAsia"/>
                <w:color w:val="auto"/>
              </w:rPr>
              <w:t>万</w:t>
            </w:r>
            <w:r>
              <w:rPr>
                <w:rFonts w:hint="eastAsia"/>
                <w:color w:val="auto"/>
                <w:lang w:eastAsia="zh-CN"/>
              </w:rPr>
              <w:t>元</w:t>
            </w:r>
          </w:p>
        </w:tc>
        <w:tc>
          <w:tcPr>
            <w:tcW w:w="1741" w:type="dxa"/>
            <w:tcBorders>
              <w:tl2br w:val="nil"/>
              <w:tr2bl w:val="nil"/>
            </w:tcBorders>
            <w:shd w:val="clear" w:color="auto" w:fill="FFFFFF"/>
            <w:noWrap w:val="0"/>
            <w:vAlign w:val="center"/>
          </w:tcPr>
          <w:p w14:paraId="317C25A5">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color w:val="auto"/>
                <w:lang w:eastAsia="zh-CN"/>
              </w:rPr>
              <w:t>区图书馆</w:t>
            </w:r>
            <w:r>
              <w:rPr>
                <w:rFonts w:hint="eastAsia"/>
                <w:color w:val="auto"/>
                <w:lang w:val="en-US" w:eastAsia="zh-CN"/>
              </w:rPr>
              <w:t>2900万；区文化馆少年儿童图书馆1900万</w:t>
            </w:r>
          </w:p>
        </w:tc>
      </w:tr>
      <w:tr w14:paraId="2C87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58" w:type="dxa"/>
            <w:tcBorders>
              <w:tl2br w:val="nil"/>
              <w:tr2bl w:val="nil"/>
            </w:tcBorders>
            <w:shd w:val="clear" w:color="auto" w:fill="FFFFFF"/>
            <w:noWrap w:val="0"/>
            <w:vAlign w:val="center"/>
          </w:tcPr>
          <w:p w14:paraId="52E421C1">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color w:val="auto"/>
                <w:lang w:val="en-US" w:eastAsia="zh-CN"/>
              </w:rPr>
              <w:t>6</w:t>
            </w:r>
          </w:p>
        </w:tc>
        <w:tc>
          <w:tcPr>
            <w:tcW w:w="958" w:type="dxa"/>
            <w:gridSpan w:val="2"/>
            <w:vMerge w:val="continue"/>
            <w:tcBorders>
              <w:tl2br w:val="nil"/>
              <w:tr2bl w:val="nil"/>
            </w:tcBorders>
            <w:shd w:val="clear" w:color="auto" w:fill="FFFFFF"/>
            <w:noWrap w:val="0"/>
            <w:vAlign w:val="center"/>
          </w:tcPr>
          <w:p w14:paraId="30EA2DDE">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color w:val="auto"/>
                <w:kern w:val="2"/>
                <w:sz w:val="21"/>
                <w:szCs w:val="22"/>
                <w:lang w:val="en-US" w:eastAsia="zh-CN" w:bidi="ar-SA"/>
              </w:rPr>
            </w:pPr>
          </w:p>
        </w:tc>
        <w:tc>
          <w:tcPr>
            <w:tcW w:w="1262" w:type="dxa"/>
            <w:tcBorders>
              <w:tl2br w:val="nil"/>
              <w:tr2bl w:val="nil"/>
            </w:tcBorders>
            <w:shd w:val="clear" w:color="auto" w:fill="FFFFFF"/>
            <w:noWrap w:val="0"/>
            <w:vAlign w:val="center"/>
          </w:tcPr>
          <w:p w14:paraId="4B7C1ADA">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r>
              <w:rPr>
                <w:rFonts w:hint="eastAsia"/>
                <w:color w:val="auto"/>
                <w:lang w:eastAsia="zh-CN"/>
              </w:rPr>
              <w:t>文物和陈列品</w:t>
            </w:r>
          </w:p>
        </w:tc>
        <w:tc>
          <w:tcPr>
            <w:tcW w:w="2805" w:type="dxa"/>
            <w:tcBorders>
              <w:tl2br w:val="nil"/>
              <w:tr2bl w:val="nil"/>
            </w:tcBorders>
            <w:shd w:val="clear" w:color="auto" w:fill="FFFFFF"/>
            <w:noWrap w:val="0"/>
            <w:vAlign w:val="center"/>
          </w:tcPr>
          <w:p w14:paraId="1C98140C">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r>
              <w:rPr>
                <w:rFonts w:hint="eastAsia"/>
                <w:color w:val="auto"/>
                <w:lang w:eastAsia="zh-CN"/>
              </w:rPr>
              <w:t>少年儿童图书馆</w:t>
            </w:r>
            <w:r>
              <w:rPr>
                <w:rFonts w:hint="eastAsia"/>
                <w:color w:val="auto"/>
                <w:lang w:val="en-US" w:eastAsia="zh-CN"/>
              </w:rPr>
              <w:t>+区文化馆+区图书馆（文物、陈列品）</w:t>
            </w:r>
          </w:p>
        </w:tc>
        <w:tc>
          <w:tcPr>
            <w:tcW w:w="1029" w:type="dxa"/>
            <w:tcBorders>
              <w:tl2br w:val="nil"/>
              <w:tr2bl w:val="nil"/>
            </w:tcBorders>
            <w:shd w:val="clear" w:color="auto" w:fill="FFFFFF"/>
            <w:noWrap w:val="0"/>
            <w:vAlign w:val="center"/>
          </w:tcPr>
          <w:p w14:paraId="4D000241">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eastAsia="宋体"/>
                <w:color w:val="auto"/>
                <w:lang w:val="en-US" w:eastAsia="zh-CN"/>
              </w:rPr>
            </w:pPr>
            <w:r>
              <w:rPr>
                <w:rFonts w:hint="eastAsia" w:ascii="Arial" w:hAnsi="Arial" w:eastAsia="宋体" w:cs="Arial"/>
                <w:i w:val="0"/>
                <w:caps w:val="0"/>
                <w:color w:val="auto"/>
                <w:spacing w:val="0"/>
                <w:sz w:val="21"/>
                <w:szCs w:val="21"/>
                <w:shd w:val="clear" w:color="auto" w:fill="FFFFFF"/>
              </w:rPr>
              <w:t>≥</w:t>
            </w:r>
            <w:r>
              <w:rPr>
                <w:rFonts w:hint="eastAsia" w:ascii="Arial" w:hAnsi="Arial" w:cs="Arial"/>
                <w:i w:val="0"/>
                <w:caps w:val="0"/>
                <w:color w:val="auto"/>
                <w:spacing w:val="0"/>
                <w:sz w:val="21"/>
                <w:szCs w:val="21"/>
                <w:shd w:val="clear" w:color="auto" w:fill="FFFFFF"/>
                <w:lang w:val="en-US" w:eastAsia="zh-CN"/>
              </w:rPr>
              <w:t>4000</w:t>
            </w:r>
          </w:p>
          <w:p w14:paraId="61F6AAFB">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rPr>
            </w:pPr>
            <w:r>
              <w:rPr>
                <w:rFonts w:hint="eastAsia"/>
                <w:color w:val="auto"/>
              </w:rPr>
              <w:t>万</w:t>
            </w:r>
            <w:r>
              <w:rPr>
                <w:rFonts w:hint="eastAsia"/>
                <w:color w:val="auto"/>
                <w:lang w:eastAsia="zh-CN"/>
              </w:rPr>
              <w:t>元</w:t>
            </w:r>
          </w:p>
        </w:tc>
        <w:tc>
          <w:tcPr>
            <w:tcW w:w="1741" w:type="dxa"/>
            <w:tcBorders>
              <w:tl2br w:val="nil"/>
              <w:tr2bl w:val="nil"/>
            </w:tcBorders>
            <w:shd w:val="clear" w:color="auto" w:fill="FFFFFF"/>
            <w:noWrap w:val="0"/>
            <w:vAlign w:val="center"/>
          </w:tcPr>
          <w:p w14:paraId="5B412BF5">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3244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58" w:type="dxa"/>
            <w:tcBorders>
              <w:tl2br w:val="nil"/>
              <w:tr2bl w:val="nil"/>
            </w:tcBorders>
            <w:shd w:val="clear" w:color="auto" w:fill="FFFFFF"/>
            <w:noWrap w:val="0"/>
            <w:vAlign w:val="center"/>
          </w:tcPr>
          <w:p w14:paraId="6F40A39D">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color w:val="auto"/>
                <w:lang w:val="en-US" w:eastAsia="zh-CN"/>
              </w:rPr>
              <w:t>7</w:t>
            </w:r>
          </w:p>
        </w:tc>
        <w:tc>
          <w:tcPr>
            <w:tcW w:w="958" w:type="dxa"/>
            <w:gridSpan w:val="2"/>
            <w:vMerge w:val="continue"/>
            <w:tcBorders>
              <w:tl2br w:val="nil"/>
              <w:tr2bl w:val="nil"/>
            </w:tcBorders>
            <w:shd w:val="clear" w:color="auto" w:fill="FFFFFF"/>
            <w:noWrap w:val="0"/>
            <w:vAlign w:val="center"/>
          </w:tcPr>
          <w:p w14:paraId="5BF5BF21">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Calibri" w:hAnsi="Calibri" w:eastAsia="宋体" w:cs="Times New Roman"/>
                <w:color w:val="auto"/>
                <w:kern w:val="2"/>
                <w:sz w:val="21"/>
                <w:szCs w:val="22"/>
                <w:lang w:val="en-US" w:eastAsia="zh-CN" w:bidi="ar-SA"/>
              </w:rPr>
            </w:pPr>
          </w:p>
        </w:tc>
        <w:tc>
          <w:tcPr>
            <w:tcW w:w="1262" w:type="dxa"/>
            <w:tcBorders>
              <w:tl2br w:val="nil"/>
              <w:tr2bl w:val="nil"/>
            </w:tcBorders>
            <w:shd w:val="clear" w:color="auto" w:fill="FFFFFF"/>
            <w:noWrap w:val="0"/>
            <w:vAlign w:val="center"/>
          </w:tcPr>
          <w:p w14:paraId="3A699629">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r>
              <w:rPr>
                <w:rFonts w:hint="eastAsia"/>
                <w:color w:val="auto"/>
                <w:lang w:eastAsia="zh-CN"/>
              </w:rPr>
              <w:t>无形资产</w:t>
            </w:r>
          </w:p>
        </w:tc>
        <w:tc>
          <w:tcPr>
            <w:tcW w:w="2805" w:type="dxa"/>
            <w:tcBorders>
              <w:tl2br w:val="nil"/>
              <w:tr2bl w:val="nil"/>
            </w:tcBorders>
            <w:shd w:val="clear" w:color="auto" w:fill="FFFFFF"/>
            <w:noWrap w:val="0"/>
            <w:vAlign w:val="center"/>
          </w:tcPr>
          <w:p w14:paraId="5785B194">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r>
              <w:rPr>
                <w:rFonts w:hint="eastAsia"/>
                <w:color w:val="auto"/>
                <w:lang w:eastAsia="zh-CN"/>
              </w:rPr>
              <w:t>场馆信息数据</w:t>
            </w:r>
          </w:p>
        </w:tc>
        <w:tc>
          <w:tcPr>
            <w:tcW w:w="1029" w:type="dxa"/>
            <w:tcBorders>
              <w:tl2br w:val="nil"/>
              <w:tr2bl w:val="nil"/>
            </w:tcBorders>
            <w:shd w:val="clear" w:color="auto" w:fill="FFFFFF"/>
            <w:noWrap w:val="0"/>
            <w:vAlign w:val="center"/>
          </w:tcPr>
          <w:p w14:paraId="092F8474">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eastAsia="宋体"/>
                <w:color w:val="auto"/>
                <w:lang w:val="en-US" w:eastAsia="zh-CN"/>
              </w:rPr>
            </w:pPr>
            <w:r>
              <w:rPr>
                <w:rFonts w:hint="eastAsia"/>
                <w:color w:val="auto"/>
                <w:lang w:eastAsia="zh-CN"/>
              </w:rPr>
              <w:t>≥</w:t>
            </w:r>
            <w:r>
              <w:rPr>
                <w:rFonts w:hint="eastAsia"/>
                <w:color w:val="auto"/>
                <w:lang w:val="en-US" w:eastAsia="zh-CN"/>
              </w:rPr>
              <w:t>840万</w:t>
            </w:r>
          </w:p>
        </w:tc>
        <w:tc>
          <w:tcPr>
            <w:tcW w:w="1741" w:type="dxa"/>
            <w:tcBorders>
              <w:tl2br w:val="nil"/>
              <w:tr2bl w:val="nil"/>
            </w:tcBorders>
            <w:shd w:val="clear" w:color="auto" w:fill="FFFFFF"/>
            <w:noWrap w:val="0"/>
            <w:vAlign w:val="center"/>
          </w:tcPr>
          <w:p w14:paraId="79264EF6">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7FFD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58" w:type="dxa"/>
            <w:vMerge w:val="restart"/>
            <w:tcBorders>
              <w:tl2br w:val="nil"/>
              <w:tr2bl w:val="nil"/>
            </w:tcBorders>
            <w:shd w:val="clear" w:color="auto" w:fill="FFFFFF"/>
            <w:noWrap w:val="0"/>
            <w:vAlign w:val="center"/>
          </w:tcPr>
          <w:p w14:paraId="150A30A4">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color w:val="auto"/>
                <w:lang w:val="en-US" w:eastAsia="zh-CN"/>
              </w:rPr>
              <w:t>6</w:t>
            </w:r>
          </w:p>
        </w:tc>
        <w:tc>
          <w:tcPr>
            <w:tcW w:w="958" w:type="dxa"/>
            <w:gridSpan w:val="2"/>
            <w:vMerge w:val="restart"/>
            <w:tcBorders>
              <w:tl2br w:val="nil"/>
              <w:tr2bl w:val="nil"/>
            </w:tcBorders>
            <w:shd w:val="clear" w:color="auto" w:fill="FFFFFF"/>
            <w:noWrap w:val="0"/>
            <w:vAlign w:val="center"/>
          </w:tcPr>
          <w:p w14:paraId="10C84249">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r>
              <w:rPr>
                <w:rFonts w:hint="eastAsia"/>
                <w:color w:val="auto"/>
                <w:lang w:eastAsia="zh-CN"/>
              </w:rPr>
              <w:t>公众</w:t>
            </w:r>
          </w:p>
          <w:p w14:paraId="35F9C0F8">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r>
              <w:rPr>
                <w:rFonts w:hint="eastAsia"/>
                <w:color w:val="auto"/>
                <w:lang w:eastAsia="zh-CN"/>
              </w:rPr>
              <w:t>责任险</w:t>
            </w:r>
          </w:p>
          <w:p w14:paraId="6E017044">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restart"/>
            <w:tcBorders>
              <w:tl2br w:val="nil"/>
              <w:tr2bl w:val="nil"/>
            </w:tcBorders>
            <w:shd w:val="clear" w:color="auto" w:fill="FFFFFF"/>
            <w:noWrap w:val="0"/>
            <w:vAlign w:val="center"/>
          </w:tcPr>
          <w:p w14:paraId="34D9CEB7">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r>
              <w:rPr>
                <w:rFonts w:hint="eastAsia"/>
                <w:color w:val="auto"/>
                <w:lang w:eastAsia="zh-CN"/>
              </w:rPr>
              <w:t>光明区文化馆、少年儿童图书馆公众责任（两馆）、传麒山分馆</w:t>
            </w:r>
          </w:p>
          <w:p w14:paraId="709094E6">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2805" w:type="dxa"/>
            <w:tcBorders>
              <w:tl2br w:val="nil"/>
              <w:tr2bl w:val="nil"/>
            </w:tcBorders>
            <w:shd w:val="clear" w:color="auto" w:fill="FFFFFF"/>
            <w:noWrap w:val="0"/>
            <w:vAlign w:val="center"/>
          </w:tcPr>
          <w:p w14:paraId="23538CA4">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eastAsia="宋体"/>
                <w:color w:val="auto"/>
                <w:lang w:eastAsia="zh-CN"/>
              </w:rPr>
            </w:pPr>
            <w:r>
              <w:rPr>
                <w:rFonts w:hint="eastAsia"/>
                <w:color w:val="auto"/>
                <w:lang w:eastAsia="zh-CN"/>
              </w:rPr>
              <w:t>在场馆内人身伤亡和财产损失累计赔偿限额</w:t>
            </w:r>
          </w:p>
        </w:tc>
        <w:tc>
          <w:tcPr>
            <w:tcW w:w="1029" w:type="dxa"/>
            <w:vMerge w:val="restart"/>
            <w:tcBorders>
              <w:tl2br w:val="nil"/>
              <w:tr2bl w:val="nil"/>
            </w:tcBorders>
            <w:shd w:val="clear" w:color="auto" w:fill="FFFFFF"/>
            <w:noWrap w:val="0"/>
            <w:vAlign w:val="center"/>
          </w:tcPr>
          <w:p w14:paraId="615B954E">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color w:val="auto"/>
                <w:lang w:val="en-US" w:eastAsia="zh-CN"/>
              </w:rPr>
              <w:t>由投标方自行拟定方案择优选用</w:t>
            </w:r>
          </w:p>
        </w:tc>
        <w:tc>
          <w:tcPr>
            <w:tcW w:w="1741" w:type="dxa"/>
            <w:vMerge w:val="restart"/>
            <w:tcBorders>
              <w:tl2br w:val="nil"/>
              <w:tr2bl w:val="nil"/>
            </w:tcBorders>
            <w:shd w:val="clear" w:color="auto" w:fill="FFFFFF"/>
            <w:noWrap w:val="0"/>
            <w:vAlign w:val="center"/>
          </w:tcPr>
          <w:p w14:paraId="37FD3C88">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r>
              <w:rPr>
                <w:rFonts w:hint="eastAsia"/>
                <w:color w:val="auto"/>
                <w:lang w:eastAsia="zh-CN"/>
              </w:rPr>
              <w:t>场馆内举办的各类活动、展览等（含所有进入场馆内活动的人员）</w:t>
            </w:r>
          </w:p>
        </w:tc>
      </w:tr>
      <w:tr w14:paraId="43E6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758" w:type="dxa"/>
            <w:vMerge w:val="continue"/>
            <w:tcBorders>
              <w:tl2br w:val="nil"/>
              <w:tr2bl w:val="nil"/>
            </w:tcBorders>
            <w:shd w:val="clear" w:color="auto" w:fill="FFFFFF"/>
            <w:noWrap w:val="0"/>
            <w:vAlign w:val="center"/>
          </w:tcPr>
          <w:p w14:paraId="413403C5">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758D9727">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7433D0B0">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2805" w:type="dxa"/>
            <w:tcBorders>
              <w:tl2br w:val="nil"/>
              <w:tr2bl w:val="nil"/>
            </w:tcBorders>
            <w:shd w:val="clear" w:color="auto" w:fill="FFFFFF"/>
            <w:noWrap w:val="0"/>
            <w:vAlign w:val="center"/>
          </w:tcPr>
          <w:p w14:paraId="05D97191">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eastAsia="宋体"/>
                <w:color w:val="auto"/>
                <w:lang w:eastAsia="zh-CN"/>
              </w:rPr>
            </w:pPr>
            <w:r>
              <w:rPr>
                <w:rFonts w:hint="eastAsia"/>
                <w:color w:val="auto"/>
                <w:lang w:eastAsia="zh-CN"/>
              </w:rPr>
              <w:t>在场馆内每次事故赔偿限额</w:t>
            </w:r>
          </w:p>
        </w:tc>
        <w:tc>
          <w:tcPr>
            <w:tcW w:w="1029" w:type="dxa"/>
            <w:vMerge w:val="continue"/>
            <w:tcBorders>
              <w:tl2br w:val="nil"/>
              <w:tr2bl w:val="nil"/>
            </w:tcBorders>
            <w:shd w:val="clear" w:color="auto" w:fill="FFFFFF"/>
            <w:noWrap w:val="0"/>
            <w:vAlign w:val="center"/>
          </w:tcPr>
          <w:p w14:paraId="7875B099">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2EFB85C8">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2B89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58" w:type="dxa"/>
            <w:vMerge w:val="continue"/>
            <w:tcBorders>
              <w:tl2br w:val="nil"/>
              <w:tr2bl w:val="nil"/>
            </w:tcBorders>
            <w:shd w:val="clear" w:color="auto" w:fill="FFFFFF"/>
            <w:noWrap w:val="0"/>
            <w:vAlign w:val="center"/>
          </w:tcPr>
          <w:p w14:paraId="0A5189BE">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3F25A02D">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18148634">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2805" w:type="dxa"/>
            <w:tcBorders>
              <w:tl2br w:val="nil"/>
              <w:tr2bl w:val="nil"/>
            </w:tcBorders>
            <w:shd w:val="clear" w:color="auto" w:fill="FFFFFF"/>
            <w:noWrap w:val="0"/>
            <w:vAlign w:val="center"/>
          </w:tcPr>
          <w:p w14:paraId="320418DB">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r>
              <w:rPr>
                <w:rFonts w:hint="eastAsia"/>
                <w:color w:val="auto"/>
                <w:lang w:eastAsia="zh-CN"/>
              </w:rPr>
              <w:t>在场馆内财产损失每次事故赔偿限额</w:t>
            </w:r>
          </w:p>
        </w:tc>
        <w:tc>
          <w:tcPr>
            <w:tcW w:w="1029" w:type="dxa"/>
            <w:vMerge w:val="continue"/>
            <w:tcBorders>
              <w:tl2br w:val="nil"/>
              <w:tr2bl w:val="nil"/>
            </w:tcBorders>
            <w:shd w:val="clear" w:color="auto" w:fill="FFFFFF"/>
            <w:noWrap w:val="0"/>
            <w:vAlign w:val="center"/>
          </w:tcPr>
          <w:p w14:paraId="7A4AC836">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0B179D85">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4B31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58" w:type="dxa"/>
            <w:vMerge w:val="continue"/>
            <w:tcBorders>
              <w:tl2br w:val="nil"/>
              <w:tr2bl w:val="nil"/>
            </w:tcBorders>
            <w:shd w:val="clear" w:color="auto" w:fill="FFFFFF"/>
            <w:noWrap w:val="0"/>
            <w:vAlign w:val="center"/>
          </w:tcPr>
          <w:p w14:paraId="3AC0C525">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3B4FF8CD">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5339C893">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2805" w:type="dxa"/>
            <w:tcBorders>
              <w:tl2br w:val="nil"/>
              <w:tr2bl w:val="nil"/>
            </w:tcBorders>
            <w:shd w:val="clear" w:color="auto" w:fill="FFFFFF"/>
            <w:noWrap w:val="0"/>
            <w:vAlign w:val="center"/>
          </w:tcPr>
          <w:p w14:paraId="05401AA2">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r>
              <w:rPr>
                <w:rFonts w:hint="eastAsia"/>
                <w:color w:val="auto"/>
                <w:lang w:eastAsia="zh-CN"/>
              </w:rPr>
              <w:t>在场馆内人身伤亡每次事故赔偿限额</w:t>
            </w:r>
          </w:p>
        </w:tc>
        <w:tc>
          <w:tcPr>
            <w:tcW w:w="1029" w:type="dxa"/>
            <w:vMerge w:val="continue"/>
            <w:tcBorders>
              <w:tl2br w:val="nil"/>
              <w:tr2bl w:val="nil"/>
            </w:tcBorders>
            <w:shd w:val="clear" w:color="auto" w:fill="FFFFFF"/>
            <w:noWrap w:val="0"/>
            <w:vAlign w:val="center"/>
          </w:tcPr>
          <w:p w14:paraId="077CFB7C">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0C76DD54">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0E75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758" w:type="dxa"/>
            <w:vMerge w:val="continue"/>
            <w:tcBorders>
              <w:tl2br w:val="nil"/>
              <w:tr2bl w:val="nil"/>
            </w:tcBorders>
            <w:shd w:val="clear" w:color="auto" w:fill="FFFFFF"/>
            <w:noWrap w:val="0"/>
            <w:vAlign w:val="center"/>
          </w:tcPr>
          <w:p w14:paraId="3F7468A0">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p>
        </w:tc>
        <w:tc>
          <w:tcPr>
            <w:tcW w:w="958" w:type="dxa"/>
            <w:gridSpan w:val="2"/>
            <w:vMerge w:val="continue"/>
            <w:tcBorders>
              <w:tl2br w:val="nil"/>
              <w:tr2bl w:val="nil"/>
            </w:tcBorders>
            <w:shd w:val="clear" w:color="auto" w:fill="FFFFFF"/>
            <w:noWrap w:val="0"/>
            <w:vAlign w:val="center"/>
          </w:tcPr>
          <w:p w14:paraId="7B448A72">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1FA8E0D9">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2805" w:type="dxa"/>
            <w:tcBorders>
              <w:tl2br w:val="nil"/>
              <w:tr2bl w:val="nil"/>
            </w:tcBorders>
            <w:shd w:val="clear" w:color="auto" w:fill="FFFFFF"/>
            <w:noWrap w:val="0"/>
            <w:vAlign w:val="center"/>
          </w:tcPr>
          <w:p w14:paraId="1993C8C2">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r>
              <w:rPr>
                <w:rFonts w:hint="eastAsia"/>
                <w:color w:val="auto"/>
                <w:lang w:eastAsia="zh-CN"/>
              </w:rPr>
              <w:t>在场馆内每人每次事故人身伤亡赔偿限额</w:t>
            </w:r>
          </w:p>
        </w:tc>
        <w:tc>
          <w:tcPr>
            <w:tcW w:w="1029" w:type="dxa"/>
            <w:vMerge w:val="continue"/>
            <w:tcBorders>
              <w:tl2br w:val="nil"/>
              <w:tr2bl w:val="nil"/>
            </w:tcBorders>
            <w:shd w:val="clear" w:color="auto" w:fill="FFFFFF"/>
            <w:noWrap w:val="0"/>
            <w:vAlign w:val="center"/>
          </w:tcPr>
          <w:p w14:paraId="73EEFF98">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08E5C711">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1D0E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758" w:type="dxa"/>
            <w:vMerge w:val="continue"/>
            <w:tcBorders>
              <w:tl2br w:val="nil"/>
              <w:tr2bl w:val="nil"/>
            </w:tcBorders>
            <w:shd w:val="clear" w:color="auto" w:fill="FFFFFF"/>
            <w:noWrap w:val="0"/>
            <w:vAlign w:val="center"/>
          </w:tcPr>
          <w:p w14:paraId="6E6B4B88">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04EB10DD">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restart"/>
            <w:tcBorders>
              <w:tl2br w:val="nil"/>
              <w:tr2bl w:val="nil"/>
            </w:tcBorders>
            <w:shd w:val="clear" w:color="auto" w:fill="FFFFFF"/>
            <w:noWrap w:val="0"/>
            <w:vAlign w:val="center"/>
          </w:tcPr>
          <w:p w14:paraId="33EF247B">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r>
              <w:rPr>
                <w:rFonts w:hint="eastAsia"/>
                <w:color w:val="auto"/>
                <w:lang w:val="en-US" w:eastAsia="zh-CN"/>
              </w:rPr>
              <w:t>24小时书香亭机器</w:t>
            </w:r>
          </w:p>
          <w:p w14:paraId="5429ABAB">
            <w:pPr>
              <w:pStyle w:val="5"/>
              <w:ind w:left="0" w:leftChars="0" w:firstLine="0" w:firstLineChars="0"/>
              <w:rPr>
                <w:rFonts w:hint="eastAsia"/>
                <w:color w:val="auto"/>
                <w:lang w:eastAsia="zh-CN"/>
              </w:rPr>
            </w:pPr>
            <w:r>
              <w:rPr>
                <w:rFonts w:hint="eastAsia" w:ascii="Calibri" w:hAnsi="Calibri" w:eastAsia="宋体" w:cs="Times New Roman"/>
                <w:color w:val="auto"/>
                <w:kern w:val="2"/>
                <w:sz w:val="21"/>
                <w:szCs w:val="22"/>
                <w:lang w:val="en-US" w:eastAsia="zh-CN" w:bidi="ar-SA"/>
              </w:rPr>
              <w:t>（71个）</w:t>
            </w:r>
          </w:p>
        </w:tc>
        <w:tc>
          <w:tcPr>
            <w:tcW w:w="2805" w:type="dxa"/>
            <w:tcBorders>
              <w:tl2br w:val="nil"/>
              <w:tr2bl w:val="nil"/>
            </w:tcBorders>
            <w:shd w:val="clear" w:color="auto" w:fill="FFFFFF"/>
            <w:noWrap w:val="0"/>
            <w:vAlign w:val="center"/>
          </w:tcPr>
          <w:p w14:paraId="0799B1CF">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Calibri" w:hAnsi="Calibri" w:eastAsia="宋体" w:cs="Times New Roman"/>
                <w:color w:val="auto"/>
                <w:kern w:val="2"/>
                <w:sz w:val="21"/>
                <w:szCs w:val="22"/>
                <w:lang w:val="en-US" w:eastAsia="zh-CN" w:bidi="ar-SA"/>
              </w:rPr>
            </w:pPr>
            <w:r>
              <w:rPr>
                <w:rFonts w:hint="eastAsia"/>
                <w:color w:val="auto"/>
                <w:lang w:eastAsia="zh-CN"/>
              </w:rPr>
              <w:t>在机器范围内人身伤亡和财产损失累计赔偿限额</w:t>
            </w:r>
          </w:p>
        </w:tc>
        <w:tc>
          <w:tcPr>
            <w:tcW w:w="1029" w:type="dxa"/>
            <w:vMerge w:val="continue"/>
            <w:tcBorders>
              <w:tl2br w:val="nil"/>
              <w:tr2bl w:val="nil"/>
            </w:tcBorders>
            <w:shd w:val="clear" w:color="auto" w:fill="FFFFFF"/>
            <w:noWrap w:val="0"/>
            <w:vAlign w:val="center"/>
          </w:tcPr>
          <w:p w14:paraId="5677447D">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506F91A9">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2474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758" w:type="dxa"/>
            <w:vMerge w:val="continue"/>
            <w:tcBorders>
              <w:tl2br w:val="nil"/>
              <w:tr2bl w:val="nil"/>
            </w:tcBorders>
            <w:shd w:val="clear" w:color="auto" w:fill="FFFFFF"/>
            <w:noWrap w:val="0"/>
            <w:vAlign w:val="center"/>
          </w:tcPr>
          <w:p w14:paraId="4CA26096">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2A4B92FA">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448FDFF8">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highlight w:val="none"/>
                <w:lang w:val="en-US" w:eastAsia="zh-CN"/>
              </w:rPr>
            </w:pPr>
          </w:p>
        </w:tc>
        <w:tc>
          <w:tcPr>
            <w:tcW w:w="2805" w:type="dxa"/>
            <w:tcBorders>
              <w:tl2br w:val="nil"/>
              <w:tr2bl w:val="nil"/>
            </w:tcBorders>
            <w:shd w:val="clear" w:color="auto" w:fill="FFFFFF"/>
            <w:noWrap w:val="0"/>
            <w:vAlign w:val="center"/>
          </w:tcPr>
          <w:p w14:paraId="71AC8BF7">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Calibri" w:hAnsi="Calibri" w:eastAsia="宋体" w:cs="Times New Roman"/>
                <w:color w:val="auto"/>
                <w:kern w:val="2"/>
                <w:sz w:val="21"/>
                <w:szCs w:val="22"/>
                <w:lang w:val="en-US" w:eastAsia="zh-CN" w:bidi="ar-SA"/>
              </w:rPr>
            </w:pPr>
            <w:r>
              <w:rPr>
                <w:rFonts w:hint="eastAsia"/>
                <w:color w:val="auto"/>
                <w:lang w:eastAsia="zh-CN"/>
              </w:rPr>
              <w:t>在机器范围内每次事故赔偿限额</w:t>
            </w:r>
          </w:p>
        </w:tc>
        <w:tc>
          <w:tcPr>
            <w:tcW w:w="1029" w:type="dxa"/>
            <w:vMerge w:val="continue"/>
            <w:tcBorders>
              <w:tl2br w:val="nil"/>
              <w:tr2bl w:val="nil"/>
            </w:tcBorders>
            <w:shd w:val="clear" w:color="auto" w:fill="FFFFFF"/>
            <w:noWrap w:val="0"/>
            <w:vAlign w:val="center"/>
          </w:tcPr>
          <w:p w14:paraId="13B9BBA8">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67EA3364">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3392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758" w:type="dxa"/>
            <w:vMerge w:val="continue"/>
            <w:tcBorders>
              <w:tl2br w:val="nil"/>
              <w:tr2bl w:val="nil"/>
            </w:tcBorders>
            <w:shd w:val="clear" w:color="auto" w:fill="FFFFFF"/>
            <w:noWrap w:val="0"/>
            <w:vAlign w:val="center"/>
          </w:tcPr>
          <w:p w14:paraId="7868C84E">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3C185091">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7D7E30EB">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highlight w:val="none"/>
                <w:lang w:val="en-US" w:eastAsia="zh-CN"/>
              </w:rPr>
            </w:pPr>
          </w:p>
        </w:tc>
        <w:tc>
          <w:tcPr>
            <w:tcW w:w="2805" w:type="dxa"/>
            <w:tcBorders>
              <w:tl2br w:val="nil"/>
              <w:tr2bl w:val="nil"/>
            </w:tcBorders>
            <w:shd w:val="clear" w:color="auto" w:fill="FFFFFF"/>
            <w:noWrap w:val="0"/>
            <w:vAlign w:val="center"/>
          </w:tcPr>
          <w:p w14:paraId="17B13BF3">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Calibri" w:hAnsi="Calibri" w:eastAsia="宋体" w:cs="Times New Roman"/>
                <w:color w:val="auto"/>
                <w:kern w:val="2"/>
                <w:sz w:val="21"/>
                <w:szCs w:val="22"/>
                <w:lang w:val="en-US" w:eastAsia="zh-CN" w:bidi="ar-SA"/>
              </w:rPr>
            </w:pPr>
            <w:r>
              <w:rPr>
                <w:rFonts w:hint="eastAsia"/>
                <w:color w:val="auto"/>
                <w:lang w:eastAsia="zh-CN"/>
              </w:rPr>
              <w:t>在机器范围内财产损失每次事故赔偿限额</w:t>
            </w:r>
          </w:p>
        </w:tc>
        <w:tc>
          <w:tcPr>
            <w:tcW w:w="1029" w:type="dxa"/>
            <w:vMerge w:val="continue"/>
            <w:tcBorders>
              <w:tl2br w:val="nil"/>
              <w:tr2bl w:val="nil"/>
            </w:tcBorders>
            <w:shd w:val="clear" w:color="auto" w:fill="FFFFFF"/>
            <w:noWrap w:val="0"/>
            <w:vAlign w:val="center"/>
          </w:tcPr>
          <w:p w14:paraId="4E093E81">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1D3BE958">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5644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758" w:type="dxa"/>
            <w:vMerge w:val="continue"/>
            <w:tcBorders>
              <w:tl2br w:val="nil"/>
              <w:tr2bl w:val="nil"/>
            </w:tcBorders>
            <w:shd w:val="clear" w:color="auto" w:fill="FFFFFF"/>
            <w:noWrap w:val="0"/>
            <w:vAlign w:val="center"/>
          </w:tcPr>
          <w:p w14:paraId="1D33264A">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0B550C46">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2471C026">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highlight w:val="none"/>
                <w:lang w:val="en-US" w:eastAsia="zh-CN"/>
              </w:rPr>
            </w:pPr>
          </w:p>
        </w:tc>
        <w:tc>
          <w:tcPr>
            <w:tcW w:w="2805" w:type="dxa"/>
            <w:tcBorders>
              <w:tl2br w:val="nil"/>
              <w:tr2bl w:val="nil"/>
            </w:tcBorders>
            <w:shd w:val="clear" w:color="auto" w:fill="FFFFFF"/>
            <w:noWrap w:val="0"/>
            <w:vAlign w:val="center"/>
          </w:tcPr>
          <w:p w14:paraId="0F004366">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Calibri" w:hAnsi="Calibri" w:eastAsia="宋体" w:cs="Times New Roman"/>
                <w:color w:val="auto"/>
                <w:kern w:val="2"/>
                <w:sz w:val="21"/>
                <w:szCs w:val="22"/>
                <w:lang w:val="en-US" w:eastAsia="zh-CN" w:bidi="ar-SA"/>
              </w:rPr>
            </w:pPr>
            <w:r>
              <w:rPr>
                <w:rFonts w:hint="eastAsia"/>
                <w:color w:val="auto"/>
                <w:lang w:eastAsia="zh-CN"/>
              </w:rPr>
              <w:t>在机器范围内人身伤亡每次事故赔偿限额</w:t>
            </w:r>
          </w:p>
        </w:tc>
        <w:tc>
          <w:tcPr>
            <w:tcW w:w="1029" w:type="dxa"/>
            <w:vMerge w:val="continue"/>
            <w:tcBorders>
              <w:tl2br w:val="nil"/>
              <w:tr2bl w:val="nil"/>
            </w:tcBorders>
            <w:shd w:val="clear" w:color="auto" w:fill="FFFFFF"/>
            <w:noWrap w:val="0"/>
            <w:vAlign w:val="center"/>
          </w:tcPr>
          <w:p w14:paraId="3718597F">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68796EC8">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6917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758" w:type="dxa"/>
            <w:vMerge w:val="continue"/>
            <w:tcBorders>
              <w:tl2br w:val="nil"/>
              <w:tr2bl w:val="nil"/>
            </w:tcBorders>
            <w:shd w:val="clear" w:color="auto" w:fill="FFFFFF"/>
            <w:noWrap w:val="0"/>
            <w:vAlign w:val="center"/>
          </w:tcPr>
          <w:p w14:paraId="24C1BB74">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385EDCD7">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1380EA57">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highlight w:val="none"/>
                <w:lang w:val="en-US" w:eastAsia="zh-CN"/>
              </w:rPr>
            </w:pPr>
          </w:p>
        </w:tc>
        <w:tc>
          <w:tcPr>
            <w:tcW w:w="2805" w:type="dxa"/>
            <w:tcBorders>
              <w:tl2br w:val="nil"/>
              <w:tr2bl w:val="nil"/>
            </w:tcBorders>
            <w:shd w:val="clear" w:color="auto" w:fill="FFFFFF"/>
            <w:noWrap w:val="0"/>
            <w:vAlign w:val="center"/>
          </w:tcPr>
          <w:p w14:paraId="451FBBC6">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Calibri" w:hAnsi="Calibri" w:eastAsia="宋体" w:cs="Times New Roman"/>
                <w:color w:val="auto"/>
                <w:kern w:val="2"/>
                <w:sz w:val="21"/>
                <w:szCs w:val="22"/>
                <w:lang w:val="en-US" w:eastAsia="zh-CN" w:bidi="ar-SA"/>
              </w:rPr>
            </w:pPr>
            <w:r>
              <w:rPr>
                <w:rFonts w:hint="eastAsia"/>
                <w:color w:val="auto"/>
                <w:lang w:eastAsia="zh-CN"/>
              </w:rPr>
              <w:t>在机器范围内每人每次事故人身伤亡赔偿限额</w:t>
            </w:r>
          </w:p>
        </w:tc>
        <w:tc>
          <w:tcPr>
            <w:tcW w:w="1029" w:type="dxa"/>
            <w:vMerge w:val="continue"/>
            <w:tcBorders>
              <w:tl2br w:val="nil"/>
              <w:tr2bl w:val="nil"/>
            </w:tcBorders>
            <w:shd w:val="clear" w:color="auto" w:fill="FFFFFF"/>
            <w:noWrap w:val="0"/>
            <w:vAlign w:val="center"/>
          </w:tcPr>
          <w:p w14:paraId="082EA784">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33331B9E">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649A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758" w:type="dxa"/>
            <w:vMerge w:val="continue"/>
            <w:tcBorders>
              <w:tl2br w:val="nil"/>
              <w:tr2bl w:val="nil"/>
            </w:tcBorders>
            <w:shd w:val="clear" w:color="auto" w:fill="FFFFFF"/>
            <w:noWrap w:val="0"/>
            <w:vAlign w:val="center"/>
          </w:tcPr>
          <w:p w14:paraId="24DF29DB">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5A3D945B">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restart"/>
            <w:tcBorders>
              <w:tl2br w:val="nil"/>
              <w:tr2bl w:val="nil"/>
            </w:tcBorders>
            <w:shd w:val="clear" w:color="auto" w:fill="FFFFFF"/>
            <w:noWrap w:val="0"/>
            <w:vAlign w:val="center"/>
          </w:tcPr>
          <w:p w14:paraId="646FA3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Calibri" w:hAnsi="Calibri" w:eastAsia="宋体" w:cs="Times New Roman"/>
                <w:b w:val="0"/>
                <w:bCs w:val="0"/>
                <w:color w:val="auto"/>
                <w:kern w:val="2"/>
                <w:sz w:val="21"/>
                <w:szCs w:val="22"/>
                <w:lang w:val="en-US" w:eastAsia="zh-CN" w:bidi="ar-SA"/>
              </w:rPr>
            </w:pPr>
            <w:r>
              <w:rPr>
                <w:rFonts w:hint="default" w:ascii="Calibri" w:hAnsi="Calibri" w:eastAsia="宋体" w:cs="Times New Roman"/>
                <w:b w:val="0"/>
                <w:bCs w:val="0"/>
                <w:color w:val="auto"/>
                <w:kern w:val="2"/>
                <w:sz w:val="21"/>
                <w:szCs w:val="22"/>
                <w:lang w:val="en-US" w:eastAsia="zh-CN" w:bidi="ar-SA"/>
              </w:rPr>
              <w:t>光明区业余体育学校</w:t>
            </w:r>
          </w:p>
          <w:p w14:paraId="187A2306">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2805" w:type="dxa"/>
            <w:tcBorders>
              <w:tl2br w:val="nil"/>
              <w:tr2bl w:val="nil"/>
            </w:tcBorders>
            <w:shd w:val="clear" w:color="auto" w:fill="FFFFFF"/>
            <w:noWrap w:val="0"/>
            <w:vAlign w:val="center"/>
          </w:tcPr>
          <w:p w14:paraId="122E5998">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color w:val="auto"/>
                <w:kern w:val="2"/>
                <w:sz w:val="21"/>
                <w:szCs w:val="22"/>
                <w:lang w:val="en-US" w:eastAsia="zh-CN" w:bidi="ar-SA"/>
              </w:rPr>
            </w:pPr>
            <w:r>
              <w:rPr>
                <w:rFonts w:hint="eastAsia"/>
                <w:color w:val="auto"/>
                <w:lang w:eastAsia="zh-CN"/>
              </w:rPr>
              <w:t>在场馆内人身伤亡和财产损失累计赔偿限额</w:t>
            </w:r>
          </w:p>
        </w:tc>
        <w:tc>
          <w:tcPr>
            <w:tcW w:w="1029" w:type="dxa"/>
            <w:vMerge w:val="continue"/>
            <w:tcBorders>
              <w:tl2br w:val="nil"/>
              <w:tr2bl w:val="nil"/>
            </w:tcBorders>
            <w:shd w:val="clear" w:color="auto" w:fill="FFFFFF"/>
            <w:noWrap w:val="0"/>
            <w:vAlign w:val="center"/>
          </w:tcPr>
          <w:p w14:paraId="3823F399">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4220728E">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1F85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758" w:type="dxa"/>
            <w:vMerge w:val="continue"/>
            <w:tcBorders>
              <w:tl2br w:val="nil"/>
              <w:tr2bl w:val="nil"/>
            </w:tcBorders>
            <w:shd w:val="clear" w:color="auto" w:fill="FFFFFF"/>
            <w:noWrap w:val="0"/>
            <w:vAlign w:val="center"/>
          </w:tcPr>
          <w:p w14:paraId="2884832F">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0E6D042A">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6B2601A0">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2805" w:type="dxa"/>
            <w:tcBorders>
              <w:tl2br w:val="nil"/>
              <w:tr2bl w:val="nil"/>
            </w:tcBorders>
            <w:shd w:val="clear" w:color="auto" w:fill="FFFFFF"/>
            <w:noWrap w:val="0"/>
            <w:vAlign w:val="center"/>
          </w:tcPr>
          <w:p w14:paraId="0B507BC1">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color w:val="auto"/>
                <w:kern w:val="2"/>
                <w:sz w:val="21"/>
                <w:szCs w:val="22"/>
                <w:lang w:val="en-US" w:eastAsia="zh-CN" w:bidi="ar-SA"/>
              </w:rPr>
            </w:pPr>
            <w:r>
              <w:rPr>
                <w:rFonts w:hint="eastAsia"/>
                <w:color w:val="auto"/>
                <w:lang w:eastAsia="zh-CN"/>
              </w:rPr>
              <w:t>在场馆内每次事故赔偿限额</w:t>
            </w:r>
          </w:p>
        </w:tc>
        <w:tc>
          <w:tcPr>
            <w:tcW w:w="1029" w:type="dxa"/>
            <w:vMerge w:val="continue"/>
            <w:tcBorders>
              <w:tl2br w:val="nil"/>
              <w:tr2bl w:val="nil"/>
            </w:tcBorders>
            <w:shd w:val="clear" w:color="auto" w:fill="FFFFFF"/>
            <w:noWrap w:val="0"/>
            <w:vAlign w:val="center"/>
          </w:tcPr>
          <w:p w14:paraId="0DB21A2B">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59B9146C">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6B2F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758" w:type="dxa"/>
            <w:vMerge w:val="continue"/>
            <w:tcBorders>
              <w:tl2br w:val="nil"/>
              <w:tr2bl w:val="nil"/>
            </w:tcBorders>
            <w:shd w:val="clear" w:color="auto" w:fill="FFFFFF"/>
            <w:noWrap w:val="0"/>
            <w:vAlign w:val="center"/>
          </w:tcPr>
          <w:p w14:paraId="3769064E">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7B62F927">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74A79AEC">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2805" w:type="dxa"/>
            <w:tcBorders>
              <w:tl2br w:val="nil"/>
              <w:tr2bl w:val="nil"/>
            </w:tcBorders>
            <w:shd w:val="clear" w:color="auto" w:fill="FFFFFF"/>
            <w:noWrap w:val="0"/>
            <w:vAlign w:val="center"/>
          </w:tcPr>
          <w:p w14:paraId="126D2865">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color w:val="auto"/>
                <w:kern w:val="2"/>
                <w:sz w:val="21"/>
                <w:szCs w:val="22"/>
                <w:lang w:val="en-US" w:eastAsia="zh-CN" w:bidi="ar-SA"/>
              </w:rPr>
            </w:pPr>
            <w:r>
              <w:rPr>
                <w:rFonts w:hint="eastAsia"/>
                <w:color w:val="auto"/>
                <w:lang w:eastAsia="zh-CN"/>
              </w:rPr>
              <w:t>在场馆内财产损失每次事故赔偿限额</w:t>
            </w:r>
          </w:p>
        </w:tc>
        <w:tc>
          <w:tcPr>
            <w:tcW w:w="1029" w:type="dxa"/>
            <w:vMerge w:val="continue"/>
            <w:tcBorders>
              <w:tl2br w:val="nil"/>
              <w:tr2bl w:val="nil"/>
            </w:tcBorders>
            <w:shd w:val="clear" w:color="auto" w:fill="FFFFFF"/>
            <w:noWrap w:val="0"/>
            <w:vAlign w:val="center"/>
          </w:tcPr>
          <w:p w14:paraId="2A80FD5C">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2A4C6C74">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1459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758" w:type="dxa"/>
            <w:vMerge w:val="continue"/>
            <w:tcBorders>
              <w:tl2br w:val="nil"/>
              <w:tr2bl w:val="nil"/>
            </w:tcBorders>
            <w:shd w:val="clear" w:color="auto" w:fill="FFFFFF"/>
            <w:noWrap w:val="0"/>
            <w:vAlign w:val="center"/>
          </w:tcPr>
          <w:p w14:paraId="5218920A">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0E4E3C0A">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083F9E93">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2805" w:type="dxa"/>
            <w:tcBorders>
              <w:tl2br w:val="nil"/>
              <w:tr2bl w:val="nil"/>
            </w:tcBorders>
            <w:shd w:val="clear" w:color="auto" w:fill="FFFFFF"/>
            <w:noWrap w:val="0"/>
            <w:vAlign w:val="center"/>
          </w:tcPr>
          <w:p w14:paraId="5701419A">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color w:val="auto"/>
                <w:kern w:val="2"/>
                <w:sz w:val="21"/>
                <w:szCs w:val="22"/>
                <w:lang w:val="en-US" w:eastAsia="zh-CN" w:bidi="ar-SA"/>
              </w:rPr>
            </w:pPr>
            <w:r>
              <w:rPr>
                <w:rFonts w:hint="eastAsia"/>
                <w:color w:val="auto"/>
                <w:lang w:eastAsia="zh-CN"/>
              </w:rPr>
              <w:t>在场馆内人身伤亡每次事故赔偿限额</w:t>
            </w:r>
          </w:p>
        </w:tc>
        <w:tc>
          <w:tcPr>
            <w:tcW w:w="1029" w:type="dxa"/>
            <w:vMerge w:val="continue"/>
            <w:tcBorders>
              <w:tl2br w:val="nil"/>
              <w:tr2bl w:val="nil"/>
            </w:tcBorders>
            <w:shd w:val="clear" w:color="auto" w:fill="FFFFFF"/>
            <w:noWrap w:val="0"/>
            <w:vAlign w:val="center"/>
          </w:tcPr>
          <w:p w14:paraId="26DC8310">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1C1E3790">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051D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758" w:type="dxa"/>
            <w:vMerge w:val="continue"/>
            <w:tcBorders>
              <w:tl2br w:val="nil"/>
              <w:tr2bl w:val="nil"/>
            </w:tcBorders>
            <w:shd w:val="clear" w:color="auto" w:fill="FFFFFF"/>
            <w:noWrap w:val="0"/>
            <w:vAlign w:val="center"/>
          </w:tcPr>
          <w:p w14:paraId="1E685098">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3C28ABFC">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693E17E5">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2805" w:type="dxa"/>
            <w:tcBorders>
              <w:tl2br w:val="nil"/>
              <w:tr2bl w:val="nil"/>
            </w:tcBorders>
            <w:shd w:val="clear" w:color="auto" w:fill="FFFFFF"/>
            <w:noWrap w:val="0"/>
            <w:vAlign w:val="center"/>
          </w:tcPr>
          <w:p w14:paraId="495F1AD9">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Calibri" w:hAnsi="Calibri" w:eastAsia="宋体" w:cs="Times New Roman"/>
                <w:color w:val="auto"/>
                <w:kern w:val="2"/>
                <w:sz w:val="21"/>
                <w:szCs w:val="22"/>
                <w:lang w:val="en-US" w:eastAsia="zh-CN" w:bidi="ar-SA"/>
              </w:rPr>
            </w:pPr>
            <w:r>
              <w:rPr>
                <w:rFonts w:hint="eastAsia"/>
                <w:color w:val="auto"/>
                <w:lang w:eastAsia="zh-CN"/>
              </w:rPr>
              <w:t>在场馆内每人每次事故人身伤亡赔偿限额</w:t>
            </w:r>
          </w:p>
        </w:tc>
        <w:tc>
          <w:tcPr>
            <w:tcW w:w="1029" w:type="dxa"/>
            <w:vMerge w:val="continue"/>
            <w:tcBorders>
              <w:tl2br w:val="nil"/>
              <w:tr2bl w:val="nil"/>
            </w:tcBorders>
            <w:shd w:val="clear" w:color="auto" w:fill="FFFFFF"/>
            <w:noWrap w:val="0"/>
            <w:vAlign w:val="center"/>
          </w:tcPr>
          <w:p w14:paraId="6EEC9975">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03F12734">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3AF2A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758" w:type="dxa"/>
            <w:vMerge w:val="restart"/>
            <w:tcBorders>
              <w:tl2br w:val="nil"/>
              <w:tr2bl w:val="nil"/>
            </w:tcBorders>
            <w:shd w:val="clear" w:color="auto" w:fill="FFFFFF"/>
            <w:noWrap w:val="0"/>
            <w:vAlign w:val="center"/>
          </w:tcPr>
          <w:p w14:paraId="2C90317C">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color w:val="auto"/>
                <w:lang w:val="en-US" w:eastAsia="zh-CN"/>
              </w:rPr>
              <w:t>8</w:t>
            </w:r>
          </w:p>
        </w:tc>
        <w:tc>
          <w:tcPr>
            <w:tcW w:w="958" w:type="dxa"/>
            <w:gridSpan w:val="2"/>
            <w:vMerge w:val="continue"/>
            <w:tcBorders>
              <w:tl2br w:val="nil"/>
              <w:tr2bl w:val="nil"/>
            </w:tcBorders>
            <w:shd w:val="clear" w:color="auto" w:fill="FFFFFF"/>
            <w:noWrap w:val="0"/>
            <w:vAlign w:val="center"/>
          </w:tcPr>
          <w:p w14:paraId="6BDEB1D6">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restart"/>
            <w:tcBorders>
              <w:tl2br w:val="nil"/>
              <w:tr2bl w:val="nil"/>
            </w:tcBorders>
            <w:shd w:val="clear" w:color="auto" w:fill="FFFFFF"/>
            <w:noWrap w:val="0"/>
            <w:vAlign w:val="center"/>
          </w:tcPr>
          <w:p w14:paraId="038193F7">
            <w:pPr>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color w:val="auto"/>
                <w:lang w:eastAsia="zh-CN"/>
              </w:rPr>
              <w:t>附加险</w:t>
            </w:r>
          </w:p>
        </w:tc>
        <w:tc>
          <w:tcPr>
            <w:tcW w:w="2805" w:type="dxa"/>
            <w:tcBorders>
              <w:tl2br w:val="nil"/>
              <w:tr2bl w:val="nil"/>
            </w:tcBorders>
            <w:shd w:val="clear" w:color="auto" w:fill="FFFFFF"/>
            <w:noWrap w:val="0"/>
            <w:vAlign w:val="center"/>
          </w:tcPr>
          <w:p w14:paraId="3DB03F3A">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Style w:val="9"/>
                <w:rFonts w:hint="eastAsia" w:ascii="宋体" w:hAnsi="宋体" w:eastAsia="宋体"/>
                <w:b w:val="0"/>
                <w:bCs w:val="0"/>
                <w:i w:val="0"/>
                <w:caps w:val="0"/>
                <w:color w:val="auto"/>
                <w:spacing w:val="0"/>
                <w:w w:val="100"/>
                <w:kern w:val="2"/>
                <w:sz w:val="21"/>
                <w:szCs w:val="21"/>
                <w:lang w:val="en-US" w:eastAsia="zh-CN" w:bidi="ar-SA"/>
              </w:rPr>
              <w:t>广告及装饰装置责任保险条款</w:t>
            </w:r>
          </w:p>
        </w:tc>
        <w:tc>
          <w:tcPr>
            <w:tcW w:w="1029" w:type="dxa"/>
            <w:vMerge w:val="continue"/>
            <w:tcBorders>
              <w:tl2br w:val="nil"/>
              <w:tr2bl w:val="nil"/>
            </w:tcBorders>
            <w:shd w:val="clear" w:color="auto" w:fill="FFFFFF"/>
            <w:noWrap w:val="0"/>
            <w:vAlign w:val="center"/>
          </w:tcPr>
          <w:p w14:paraId="4EE8F2E2">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202FDF04">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47E6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58" w:type="dxa"/>
            <w:vMerge w:val="continue"/>
            <w:tcBorders>
              <w:tl2br w:val="nil"/>
              <w:tr2bl w:val="nil"/>
            </w:tcBorders>
            <w:shd w:val="clear" w:color="auto" w:fill="FFFFFF"/>
            <w:noWrap w:val="0"/>
            <w:vAlign w:val="center"/>
          </w:tcPr>
          <w:p w14:paraId="7BE3411A">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4DB8AF2E">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04ADF348">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eastAsia="zh-CN"/>
              </w:rPr>
            </w:pPr>
          </w:p>
        </w:tc>
        <w:tc>
          <w:tcPr>
            <w:tcW w:w="2805" w:type="dxa"/>
            <w:tcBorders>
              <w:tl2br w:val="nil"/>
              <w:tr2bl w:val="nil"/>
            </w:tcBorders>
            <w:shd w:val="clear" w:color="auto" w:fill="FFFFFF"/>
            <w:noWrap w:val="0"/>
            <w:vAlign w:val="center"/>
          </w:tcPr>
          <w:p w14:paraId="3EE482AB">
            <w:pPr>
              <w:keepLines w:val="0"/>
              <w:pageBreakBefore w:val="0"/>
              <w:widowControl w:val="0"/>
              <w:numPr>
                <w:ilvl w:val="0"/>
                <w:numId w:val="0"/>
              </w:numPr>
              <w:kinsoku/>
              <w:wordWrap/>
              <w:overflowPunct/>
              <w:topLinePunct w:val="0"/>
              <w:autoSpaceDE/>
              <w:autoSpaceDN/>
              <w:bidi w:val="0"/>
              <w:adjustRightInd/>
              <w:snapToGrid/>
              <w:spacing w:line="300" w:lineRule="exact"/>
              <w:ind w:leftChars="0"/>
              <w:jc w:val="left"/>
              <w:textAlignment w:val="auto"/>
              <w:rPr>
                <w:rFonts w:hint="eastAsia"/>
                <w:color w:val="auto"/>
                <w:lang w:eastAsia="zh-CN"/>
              </w:rPr>
            </w:pPr>
            <w:r>
              <w:rPr>
                <w:rFonts w:hint="eastAsia"/>
                <w:color w:val="auto"/>
                <w:lang w:val="en-US" w:eastAsia="zh-CN"/>
              </w:rPr>
              <w:t>4台电梯责任条款</w:t>
            </w:r>
          </w:p>
        </w:tc>
        <w:tc>
          <w:tcPr>
            <w:tcW w:w="1029" w:type="dxa"/>
            <w:vMerge w:val="continue"/>
            <w:tcBorders>
              <w:tl2br w:val="nil"/>
              <w:tr2bl w:val="nil"/>
            </w:tcBorders>
            <w:shd w:val="clear" w:color="auto" w:fill="FFFFFF"/>
            <w:noWrap w:val="0"/>
            <w:vAlign w:val="center"/>
          </w:tcPr>
          <w:p w14:paraId="67043B70">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val="en-US" w:eastAsia="zh-CN"/>
              </w:rPr>
            </w:pPr>
          </w:p>
        </w:tc>
        <w:tc>
          <w:tcPr>
            <w:tcW w:w="1741" w:type="dxa"/>
            <w:vMerge w:val="continue"/>
            <w:tcBorders>
              <w:tl2br w:val="nil"/>
              <w:tr2bl w:val="nil"/>
            </w:tcBorders>
            <w:shd w:val="clear" w:color="auto" w:fill="FFFFFF"/>
            <w:noWrap w:val="0"/>
            <w:vAlign w:val="center"/>
          </w:tcPr>
          <w:p w14:paraId="39372009">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29E5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58" w:type="dxa"/>
            <w:vMerge w:val="continue"/>
            <w:tcBorders>
              <w:tl2br w:val="nil"/>
              <w:tr2bl w:val="nil"/>
            </w:tcBorders>
            <w:shd w:val="clear" w:color="auto" w:fill="FFFFFF"/>
            <w:noWrap w:val="0"/>
            <w:vAlign w:val="center"/>
          </w:tcPr>
          <w:p w14:paraId="651E260E">
            <w:pPr>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p>
        </w:tc>
        <w:tc>
          <w:tcPr>
            <w:tcW w:w="958" w:type="dxa"/>
            <w:gridSpan w:val="2"/>
            <w:vMerge w:val="continue"/>
            <w:tcBorders>
              <w:tl2br w:val="nil"/>
              <w:tr2bl w:val="nil"/>
            </w:tcBorders>
            <w:shd w:val="clear" w:color="auto" w:fill="FFFFFF"/>
            <w:noWrap w:val="0"/>
            <w:vAlign w:val="center"/>
          </w:tcPr>
          <w:p w14:paraId="72BC37C8">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c>
          <w:tcPr>
            <w:tcW w:w="1262" w:type="dxa"/>
            <w:vMerge w:val="continue"/>
            <w:tcBorders>
              <w:tl2br w:val="nil"/>
              <w:tr2bl w:val="nil"/>
            </w:tcBorders>
            <w:shd w:val="clear" w:color="auto" w:fill="FFFFFF"/>
            <w:noWrap w:val="0"/>
            <w:vAlign w:val="center"/>
          </w:tcPr>
          <w:p w14:paraId="0C425F9F">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c>
          <w:tcPr>
            <w:tcW w:w="2805" w:type="dxa"/>
            <w:tcBorders>
              <w:tl2br w:val="nil"/>
              <w:tr2bl w:val="nil"/>
            </w:tcBorders>
            <w:shd w:val="clear" w:color="auto" w:fill="FFFFFF"/>
            <w:noWrap w:val="0"/>
            <w:vAlign w:val="center"/>
          </w:tcPr>
          <w:p w14:paraId="01C2A166">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r>
              <w:rPr>
                <w:rFonts w:hint="eastAsia"/>
                <w:color w:val="auto"/>
                <w:lang w:val="en-US" w:eastAsia="zh-CN"/>
              </w:rPr>
              <w:t>321个车位停车场责任条款</w:t>
            </w:r>
          </w:p>
        </w:tc>
        <w:tc>
          <w:tcPr>
            <w:tcW w:w="1029" w:type="dxa"/>
            <w:tcBorders>
              <w:tl2br w:val="nil"/>
              <w:tr2bl w:val="nil"/>
            </w:tcBorders>
            <w:shd w:val="clear" w:color="auto" w:fill="FFFFFF"/>
            <w:noWrap w:val="0"/>
            <w:vAlign w:val="center"/>
          </w:tcPr>
          <w:p w14:paraId="5CA0F8CD">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tc>
        <w:tc>
          <w:tcPr>
            <w:tcW w:w="1741" w:type="dxa"/>
            <w:vMerge w:val="continue"/>
            <w:tcBorders>
              <w:tl2br w:val="nil"/>
              <w:tr2bl w:val="nil"/>
            </w:tcBorders>
            <w:shd w:val="clear" w:color="auto" w:fill="FFFFFF"/>
            <w:noWrap w:val="0"/>
            <w:vAlign w:val="center"/>
          </w:tcPr>
          <w:p w14:paraId="4EA7EFBD">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r>
      <w:tr w14:paraId="7B98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2978" w:type="dxa"/>
            <w:gridSpan w:val="4"/>
            <w:tcBorders>
              <w:tl2br w:val="nil"/>
              <w:tr2bl w:val="nil"/>
            </w:tcBorders>
            <w:shd w:val="clear" w:color="auto" w:fill="FFFFFF"/>
            <w:noWrap w:val="0"/>
            <w:vAlign w:val="center"/>
          </w:tcPr>
          <w:p w14:paraId="5829E2AB">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r>
              <w:rPr>
                <w:rFonts w:hint="eastAsia"/>
                <w:color w:val="auto"/>
                <w:lang w:eastAsia="zh-CN"/>
              </w:rPr>
              <w:t>资质要求</w:t>
            </w:r>
          </w:p>
        </w:tc>
        <w:tc>
          <w:tcPr>
            <w:tcW w:w="5575" w:type="dxa"/>
            <w:gridSpan w:val="3"/>
            <w:tcBorders>
              <w:tl2br w:val="nil"/>
              <w:tr2bl w:val="nil"/>
            </w:tcBorders>
            <w:shd w:val="clear" w:color="auto" w:fill="FFFFFF"/>
            <w:noWrap w:val="0"/>
            <w:vAlign w:val="center"/>
          </w:tcPr>
          <w:p w14:paraId="0F271EBE">
            <w:pPr>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jc w:val="left"/>
              <w:textAlignment w:val="auto"/>
              <w:rPr>
                <w:rFonts w:hint="eastAsia"/>
                <w:color w:val="auto"/>
                <w:lang w:val="en-US" w:eastAsia="zh-CN"/>
              </w:rPr>
            </w:pPr>
            <w:r>
              <w:rPr>
                <w:rFonts w:hint="eastAsia" w:cs="Times New Roman"/>
                <w:b w:val="0"/>
                <w:bCs w:val="0"/>
                <w:color w:val="auto"/>
                <w:kern w:val="2"/>
                <w:sz w:val="21"/>
                <w:szCs w:val="22"/>
                <w:lang w:val="en-US" w:eastAsia="zh-CN" w:bidi="ar-SA"/>
              </w:rPr>
              <w:t>1</w:t>
            </w:r>
            <w:r>
              <w:rPr>
                <w:rFonts w:hint="eastAsia" w:ascii="Calibri" w:hAnsi="Calibri" w:eastAsia="宋体" w:cs="Times New Roman"/>
                <w:b w:val="0"/>
                <w:bCs w:val="0"/>
                <w:color w:val="auto"/>
                <w:kern w:val="2"/>
                <w:sz w:val="21"/>
                <w:szCs w:val="22"/>
                <w:lang w:val="en-US" w:eastAsia="zh-CN" w:bidi="ar-SA"/>
              </w:rPr>
              <w:t>.需持有</w:t>
            </w:r>
            <w:r>
              <w:rPr>
                <w:rFonts w:hint="eastAsia" w:cs="Times New Roman"/>
                <w:b w:val="0"/>
                <w:bCs w:val="0"/>
                <w:color w:val="auto"/>
                <w:kern w:val="2"/>
                <w:sz w:val="21"/>
                <w:szCs w:val="22"/>
                <w:lang w:val="en-US" w:eastAsia="zh-CN" w:bidi="ar-SA"/>
              </w:rPr>
              <w:t>监管部门</w:t>
            </w:r>
            <w:r>
              <w:rPr>
                <w:rFonts w:hint="eastAsia" w:ascii="Calibri" w:hAnsi="Calibri" w:eastAsia="宋体" w:cs="Times New Roman"/>
                <w:b w:val="0"/>
                <w:bCs w:val="0"/>
                <w:color w:val="auto"/>
                <w:kern w:val="2"/>
                <w:sz w:val="21"/>
                <w:szCs w:val="22"/>
                <w:lang w:val="en-US" w:eastAsia="zh-CN" w:bidi="ar-SA"/>
              </w:rPr>
              <w:t>授权的《经营保险业务许可证》</w:t>
            </w:r>
            <w:r>
              <w:rPr>
                <w:rFonts w:hint="eastAsia" w:cs="Times New Roman"/>
                <w:b w:val="0"/>
                <w:bCs w:val="0"/>
                <w:color w:val="auto"/>
                <w:kern w:val="2"/>
                <w:sz w:val="21"/>
                <w:szCs w:val="22"/>
                <w:lang w:val="en-US" w:eastAsia="zh-CN" w:bidi="ar-SA"/>
              </w:rPr>
              <w:t>，营业范围内需包含财产损失险、责任险或国家保监部门批准的其他业务。</w:t>
            </w:r>
          </w:p>
          <w:p w14:paraId="4F25AE54">
            <w:pPr>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jc w:val="left"/>
              <w:textAlignment w:val="auto"/>
              <w:rPr>
                <w:rFonts w:hint="eastAsia"/>
                <w:color w:val="auto"/>
                <w:lang w:eastAsia="zh-CN"/>
              </w:rPr>
            </w:pPr>
            <w:r>
              <w:rPr>
                <w:rFonts w:hint="eastAsia"/>
                <w:color w:val="auto"/>
                <w:lang w:val="en-US" w:eastAsia="zh-CN"/>
              </w:rPr>
              <w:t>2.</w:t>
            </w:r>
            <w:r>
              <w:rPr>
                <w:rFonts w:hint="eastAsia"/>
                <w:color w:val="auto"/>
              </w:rPr>
              <w:t>具有合法的企业法人营业执照，组织机构代码证，税务登记证（提供合法有效的营业执照原件扫描件，原件备查；如企业营业执照未反映经营范围，须提供深圳市市场监督管理局网站</w:t>
            </w:r>
            <w:r>
              <w:rPr>
                <w:rFonts w:hint="eastAsia"/>
                <w:color w:val="auto"/>
                <w:lang w:val="en-US" w:eastAsia="zh-CN"/>
              </w:rPr>
              <w:t>或公司所在地</w:t>
            </w:r>
            <w:r>
              <w:rPr>
                <w:rFonts w:hint="eastAsia"/>
                <w:color w:val="auto"/>
              </w:rPr>
              <w:t>关于供应商经营范围查询结果的截图）</w:t>
            </w:r>
            <w:r>
              <w:rPr>
                <w:rFonts w:hint="eastAsia"/>
                <w:color w:val="auto"/>
                <w:lang w:eastAsia="zh-CN"/>
              </w:rPr>
              <w:t>；</w:t>
            </w:r>
          </w:p>
          <w:p w14:paraId="5E77F6CA">
            <w:pPr>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jc w:val="left"/>
              <w:textAlignment w:val="auto"/>
              <w:rPr>
                <w:rFonts w:hint="default"/>
                <w:color w:val="auto"/>
                <w:lang w:val="en-US" w:eastAsia="zh-CN"/>
              </w:rPr>
            </w:pPr>
            <w:r>
              <w:rPr>
                <w:rFonts w:hint="eastAsia"/>
                <w:color w:val="auto"/>
                <w:lang w:val="en-US" w:eastAsia="zh-CN"/>
              </w:rPr>
              <w:t>3.深圳市光明区公共文化艺术和体育中心有权对所有投标供应商就本项目招标文件要求提供的相关证明材料（原件）进行审查。供应商提供虚假资料被查实的，则可能面临被取消本项目中标资格、列入不良行为记录名单且三年内禁止参与本单位采购活动的风险</w:t>
            </w:r>
          </w:p>
        </w:tc>
      </w:tr>
      <w:tr w14:paraId="4A40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jc w:val="center"/>
        </w:trPr>
        <w:tc>
          <w:tcPr>
            <w:tcW w:w="2978" w:type="dxa"/>
            <w:gridSpan w:val="4"/>
            <w:tcBorders>
              <w:tl2br w:val="nil"/>
              <w:tr2bl w:val="nil"/>
            </w:tcBorders>
            <w:shd w:val="clear" w:color="auto" w:fill="FFFFFF"/>
            <w:noWrap w:val="0"/>
            <w:vAlign w:val="center"/>
          </w:tcPr>
          <w:p w14:paraId="7BDE3348">
            <w:pPr>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lang w:val="en-US" w:eastAsia="zh-CN"/>
              </w:rPr>
            </w:pPr>
          </w:p>
          <w:p w14:paraId="5F589EC0">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r>
              <w:rPr>
                <w:rFonts w:hint="eastAsia"/>
                <w:color w:val="auto"/>
                <w:lang w:eastAsia="zh-CN"/>
              </w:rPr>
              <w:t>其他要求</w:t>
            </w:r>
          </w:p>
          <w:p w14:paraId="520D3A7B">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p>
        </w:tc>
        <w:tc>
          <w:tcPr>
            <w:tcW w:w="5575" w:type="dxa"/>
            <w:gridSpan w:val="3"/>
            <w:tcBorders>
              <w:tl2br w:val="nil"/>
              <w:tr2bl w:val="nil"/>
            </w:tcBorders>
            <w:shd w:val="clear" w:color="auto" w:fill="FFFFFF"/>
            <w:noWrap w:val="0"/>
            <w:vAlign w:val="center"/>
          </w:tcPr>
          <w:p w14:paraId="5574FE10">
            <w:pPr>
              <w:keepLines w:val="0"/>
              <w:pageBreakBefore w:val="0"/>
              <w:widowControl w:val="0"/>
              <w:kinsoku/>
              <w:wordWrap/>
              <w:overflowPunct/>
              <w:topLinePunct w:val="0"/>
              <w:autoSpaceDE/>
              <w:autoSpaceDN/>
              <w:bidi w:val="0"/>
              <w:adjustRightInd/>
              <w:snapToGrid/>
              <w:spacing w:line="300" w:lineRule="exact"/>
              <w:jc w:val="left"/>
              <w:textAlignment w:val="auto"/>
              <w:rPr>
                <w:rFonts w:hint="eastAsia"/>
                <w:color w:val="auto"/>
                <w:lang w:eastAsia="zh-CN"/>
              </w:rPr>
            </w:pPr>
            <w:r>
              <w:rPr>
                <w:rFonts w:hint="eastAsia"/>
                <w:color w:val="auto"/>
                <w:lang w:eastAsia="zh-CN"/>
              </w:rPr>
              <w:t>需满足：</w:t>
            </w:r>
            <w:r>
              <w:rPr>
                <w:rFonts w:hint="eastAsia"/>
                <w:color w:val="auto"/>
                <w:lang w:val="en-US" w:eastAsia="zh-CN"/>
              </w:rPr>
              <w:t>1.</w:t>
            </w:r>
            <w:r>
              <w:rPr>
                <w:rFonts w:hint="eastAsia"/>
                <w:color w:val="auto"/>
              </w:rPr>
              <w:t>盗抢险扩展条款</w:t>
            </w:r>
            <w:r>
              <w:rPr>
                <w:rFonts w:hint="eastAsia"/>
                <w:color w:val="auto"/>
                <w:lang w:eastAsia="zh-CN"/>
              </w:rPr>
              <w:t>，</w:t>
            </w:r>
            <w:r>
              <w:rPr>
                <w:rFonts w:hint="eastAsia"/>
                <w:color w:val="auto"/>
              </w:rPr>
              <w:t>供水、供气、管道破裂损失条款</w:t>
            </w:r>
            <w:r>
              <w:rPr>
                <w:rFonts w:hint="eastAsia"/>
                <w:color w:val="auto"/>
                <w:lang w:eastAsia="zh-CN"/>
              </w:rPr>
              <w:t>，</w:t>
            </w:r>
            <w:r>
              <w:rPr>
                <w:rFonts w:hint="eastAsia"/>
                <w:color w:val="auto"/>
              </w:rPr>
              <w:t>公用设施故障条款</w:t>
            </w:r>
            <w:r>
              <w:rPr>
                <w:rFonts w:hint="eastAsia"/>
                <w:color w:val="auto"/>
                <w:lang w:eastAsia="zh-CN"/>
              </w:rPr>
              <w:t>，</w:t>
            </w:r>
            <w:r>
              <w:rPr>
                <w:rFonts w:hint="eastAsia"/>
                <w:color w:val="auto"/>
              </w:rPr>
              <w:t>灭火费用扩展条款</w:t>
            </w:r>
            <w:r>
              <w:rPr>
                <w:rFonts w:hint="eastAsia"/>
                <w:color w:val="auto"/>
                <w:lang w:eastAsia="zh-CN"/>
              </w:rPr>
              <w:t>，</w:t>
            </w:r>
            <w:r>
              <w:rPr>
                <w:rFonts w:hint="eastAsia"/>
                <w:color w:val="auto"/>
              </w:rPr>
              <w:t>清理残骸条款</w:t>
            </w:r>
            <w:r>
              <w:rPr>
                <w:rFonts w:hint="eastAsia"/>
                <w:color w:val="auto"/>
                <w:lang w:eastAsia="zh-CN"/>
              </w:rPr>
              <w:t>，</w:t>
            </w:r>
            <w:r>
              <w:rPr>
                <w:rFonts w:hint="eastAsia"/>
                <w:color w:val="auto"/>
              </w:rPr>
              <w:t>专业费用条款</w:t>
            </w:r>
            <w:r>
              <w:rPr>
                <w:rFonts w:hint="eastAsia"/>
                <w:color w:val="auto"/>
                <w:lang w:eastAsia="zh-CN"/>
              </w:rPr>
              <w:t>，</w:t>
            </w:r>
            <w:r>
              <w:rPr>
                <w:rFonts w:hint="eastAsia"/>
                <w:color w:val="auto"/>
              </w:rPr>
              <w:t>预付赔款条款</w:t>
            </w:r>
            <w:r>
              <w:rPr>
                <w:rFonts w:hint="eastAsia"/>
                <w:color w:val="auto"/>
                <w:lang w:eastAsia="zh-CN"/>
              </w:rPr>
              <w:t>，</w:t>
            </w:r>
            <w:r>
              <w:rPr>
                <w:rFonts w:hint="eastAsia"/>
                <w:color w:val="auto"/>
              </w:rPr>
              <w:t>重置价值条款</w:t>
            </w:r>
            <w:r>
              <w:rPr>
                <w:rFonts w:hint="eastAsia"/>
                <w:color w:val="auto"/>
                <w:lang w:eastAsia="zh-CN"/>
              </w:rPr>
              <w:t>，</w:t>
            </w:r>
            <w:r>
              <w:rPr>
                <w:rFonts w:hint="eastAsia"/>
                <w:color w:val="auto"/>
              </w:rPr>
              <w:t>自动喷淋系统水损扩展条款</w:t>
            </w:r>
            <w:r>
              <w:rPr>
                <w:rFonts w:hint="eastAsia"/>
                <w:color w:val="auto"/>
                <w:lang w:eastAsia="zh-CN"/>
              </w:rPr>
              <w:t>，</w:t>
            </w:r>
            <w:r>
              <w:rPr>
                <w:rFonts w:hint="eastAsia"/>
                <w:color w:val="auto"/>
              </w:rPr>
              <w:t>建筑物外部附属设施扩展条款</w:t>
            </w:r>
            <w:r>
              <w:rPr>
                <w:rFonts w:hint="eastAsia"/>
                <w:color w:val="auto"/>
                <w:lang w:eastAsia="zh-CN"/>
              </w:rPr>
              <w:t>，</w:t>
            </w:r>
            <w:r>
              <w:rPr>
                <w:rFonts w:hint="eastAsia"/>
                <w:color w:val="auto"/>
              </w:rPr>
              <w:t>玻璃破碎扩展条款</w:t>
            </w:r>
            <w:r>
              <w:rPr>
                <w:rFonts w:hint="eastAsia"/>
                <w:color w:val="auto"/>
                <w:lang w:eastAsia="zh-CN"/>
              </w:rPr>
              <w:t>，</w:t>
            </w:r>
            <w:r>
              <w:rPr>
                <w:rFonts w:hint="eastAsia"/>
                <w:color w:val="auto"/>
              </w:rPr>
              <w:t>附加暴风、暴雨、洪水保险条款</w:t>
            </w:r>
            <w:r>
              <w:rPr>
                <w:rFonts w:hint="eastAsia"/>
                <w:color w:val="auto"/>
                <w:lang w:eastAsia="zh-CN"/>
              </w:rPr>
              <w:t>，</w:t>
            </w:r>
            <w:r>
              <w:rPr>
                <w:rFonts w:hint="eastAsia"/>
                <w:color w:val="auto"/>
              </w:rPr>
              <w:t>火灾、爆炸、烟熏及水损条款</w:t>
            </w:r>
            <w:r>
              <w:rPr>
                <w:rFonts w:hint="eastAsia"/>
                <w:color w:val="auto"/>
                <w:lang w:eastAsia="zh-CN"/>
              </w:rPr>
              <w:t>，</w:t>
            </w:r>
            <w:r>
              <w:rPr>
                <w:rFonts w:hint="eastAsia"/>
                <w:color w:val="auto"/>
              </w:rPr>
              <w:t>灭火及所致水损责任条款</w:t>
            </w:r>
            <w:r>
              <w:rPr>
                <w:rFonts w:hint="eastAsia"/>
                <w:color w:val="auto"/>
                <w:lang w:eastAsia="zh-CN"/>
              </w:rPr>
              <w:t>。</w:t>
            </w:r>
          </w:p>
          <w:p w14:paraId="1671AD4B">
            <w:pPr>
              <w:keepLines w:val="0"/>
              <w:pageBreakBefore w:val="0"/>
              <w:widowControl w:val="0"/>
              <w:numPr>
                <w:ilvl w:val="0"/>
                <w:numId w:val="1"/>
              </w:numPr>
              <w:kinsoku/>
              <w:wordWrap/>
              <w:overflowPunct/>
              <w:topLinePunct w:val="0"/>
              <w:autoSpaceDE/>
              <w:autoSpaceDN/>
              <w:bidi w:val="0"/>
              <w:adjustRightInd/>
              <w:snapToGrid/>
              <w:spacing w:line="300" w:lineRule="exact"/>
              <w:jc w:val="left"/>
              <w:textAlignment w:val="auto"/>
              <w:rPr>
                <w:rFonts w:hint="eastAsia"/>
                <w:color w:val="auto"/>
                <w:lang w:val="en-US" w:eastAsia="zh-CN"/>
              </w:rPr>
            </w:pPr>
            <w:r>
              <w:rPr>
                <w:rFonts w:hint="eastAsia"/>
                <w:color w:val="auto"/>
                <w:lang w:val="en-US" w:eastAsia="zh-CN"/>
              </w:rPr>
              <w:t>服务有效期为一年，在各险种中注明免赔额及零免赔，需在保单中逐条列明需求明细。</w:t>
            </w:r>
          </w:p>
          <w:p w14:paraId="328562F2">
            <w:pPr>
              <w:pStyle w:val="2"/>
              <w:numPr>
                <w:ilvl w:val="0"/>
                <w:numId w:val="1"/>
              </w:numPr>
              <w:ind w:left="0" w:leftChars="0" w:firstLine="0" w:firstLineChars="0"/>
              <w:jc w:val="left"/>
              <w:rPr>
                <w:rFonts w:hint="default"/>
                <w:color w:val="auto"/>
                <w:lang w:val="en-US" w:eastAsia="zh-CN"/>
              </w:rPr>
            </w:pPr>
            <w:r>
              <w:rPr>
                <w:rFonts w:hint="default" w:ascii="Calibri" w:hAnsi="Calibri" w:eastAsia="宋体" w:cs="Times New Roman"/>
                <w:b w:val="0"/>
                <w:bCs w:val="0"/>
                <w:color w:val="auto"/>
                <w:kern w:val="2"/>
                <w:sz w:val="21"/>
                <w:szCs w:val="22"/>
                <w:lang w:val="en-US" w:eastAsia="zh-CN" w:bidi="ar-SA"/>
              </w:rPr>
              <w:t>体校训练的</w:t>
            </w:r>
            <w:r>
              <w:rPr>
                <w:rFonts w:hint="eastAsia" w:ascii="Calibri" w:hAnsi="Calibri" w:eastAsia="宋体" w:cs="Times New Roman"/>
                <w:b w:val="0"/>
                <w:bCs w:val="0"/>
                <w:color w:val="auto"/>
                <w:kern w:val="2"/>
                <w:sz w:val="21"/>
                <w:szCs w:val="22"/>
                <w:lang w:val="en-US" w:eastAsia="zh-CN" w:bidi="ar-SA"/>
              </w:rPr>
              <w:t>项目包括：</w:t>
            </w:r>
            <w:r>
              <w:rPr>
                <w:rFonts w:hint="default" w:ascii="Calibri" w:hAnsi="Calibri" w:eastAsia="宋体" w:cs="Times New Roman"/>
                <w:b w:val="0"/>
                <w:bCs w:val="0"/>
                <w:color w:val="auto"/>
                <w:kern w:val="2"/>
                <w:sz w:val="21"/>
                <w:szCs w:val="22"/>
                <w:lang w:val="en-US" w:eastAsia="zh-CN" w:bidi="ar-SA"/>
              </w:rPr>
              <w:t>柔道，跆拳道，空手道，游泳，网球，乒乓球，羽毛球，攀岩</w:t>
            </w:r>
            <w:r>
              <w:rPr>
                <w:rFonts w:hint="eastAsia" w:ascii="Calibri" w:hAnsi="Calibri" w:eastAsia="宋体" w:cs="Times New Roman"/>
                <w:b w:val="0"/>
                <w:bCs w:val="0"/>
                <w:color w:val="auto"/>
                <w:kern w:val="2"/>
                <w:sz w:val="21"/>
                <w:szCs w:val="22"/>
                <w:lang w:val="en-US" w:eastAsia="zh-CN" w:bidi="ar-SA"/>
              </w:rPr>
              <w:t>，</w:t>
            </w:r>
            <w:r>
              <w:rPr>
                <w:rFonts w:hint="default" w:ascii="Calibri" w:hAnsi="Calibri" w:eastAsia="宋体" w:cs="Times New Roman"/>
                <w:b w:val="0"/>
                <w:bCs w:val="0"/>
                <w:color w:val="auto"/>
                <w:kern w:val="2"/>
                <w:sz w:val="21"/>
                <w:szCs w:val="22"/>
                <w:lang w:val="en-US" w:eastAsia="zh-CN" w:bidi="ar-SA"/>
              </w:rPr>
              <w:t>柔道，跆拳道，空手</w:t>
            </w:r>
            <w:r>
              <w:rPr>
                <w:rFonts w:hint="eastAsia" w:ascii="Calibri" w:hAnsi="Calibri" w:eastAsia="宋体" w:cs="Times New Roman"/>
                <w:b w:val="0"/>
                <w:bCs w:val="0"/>
                <w:color w:val="auto"/>
                <w:kern w:val="2"/>
                <w:sz w:val="21"/>
                <w:szCs w:val="22"/>
                <w:lang w:val="en-US" w:eastAsia="zh-CN" w:bidi="ar-SA"/>
              </w:rPr>
              <w:t>等。</w:t>
            </w:r>
          </w:p>
        </w:tc>
      </w:tr>
    </w:tbl>
    <w:p w14:paraId="0221CA9B"/>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A5AA8"/>
    <w:multiLevelType w:val="singleLevel"/>
    <w:tmpl w:val="C87A5AA8"/>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wMzM1ODMzMDdlNjY1NDg0NTlmYzE2ZTQwZWE2MzcifQ=="/>
  </w:docVars>
  <w:rsids>
    <w:rsidRoot w:val="68F025B6"/>
    <w:rsid w:val="00440ED6"/>
    <w:rsid w:val="00D43E36"/>
    <w:rsid w:val="01210C0E"/>
    <w:rsid w:val="04446159"/>
    <w:rsid w:val="0AED0D04"/>
    <w:rsid w:val="0D2704F5"/>
    <w:rsid w:val="0DBB17D1"/>
    <w:rsid w:val="17E14C0A"/>
    <w:rsid w:val="1B5E2C38"/>
    <w:rsid w:val="1D3B6821"/>
    <w:rsid w:val="1E8D3717"/>
    <w:rsid w:val="22A2729A"/>
    <w:rsid w:val="242953E6"/>
    <w:rsid w:val="252739A6"/>
    <w:rsid w:val="2A123109"/>
    <w:rsid w:val="2EA339A5"/>
    <w:rsid w:val="3162549B"/>
    <w:rsid w:val="31B923E9"/>
    <w:rsid w:val="330A0BAA"/>
    <w:rsid w:val="357C77DF"/>
    <w:rsid w:val="398D77E1"/>
    <w:rsid w:val="3CB35FFE"/>
    <w:rsid w:val="403F2B2E"/>
    <w:rsid w:val="46B95551"/>
    <w:rsid w:val="48C256E1"/>
    <w:rsid w:val="49544B97"/>
    <w:rsid w:val="4A1E46B9"/>
    <w:rsid w:val="4B72689C"/>
    <w:rsid w:val="4D2003B6"/>
    <w:rsid w:val="4D6D0D4E"/>
    <w:rsid w:val="4D78129B"/>
    <w:rsid w:val="4DD35517"/>
    <w:rsid w:val="4F014DE8"/>
    <w:rsid w:val="52D40E84"/>
    <w:rsid w:val="592F169F"/>
    <w:rsid w:val="5A266FC0"/>
    <w:rsid w:val="5D106324"/>
    <w:rsid w:val="5DAC0F59"/>
    <w:rsid w:val="5FE15FD7"/>
    <w:rsid w:val="603E2B5E"/>
    <w:rsid w:val="665E7BD6"/>
    <w:rsid w:val="68F025B6"/>
    <w:rsid w:val="6C034181"/>
    <w:rsid w:val="6C52461F"/>
    <w:rsid w:val="72AD5F3E"/>
    <w:rsid w:val="72B233BA"/>
    <w:rsid w:val="73232A22"/>
    <w:rsid w:val="77AF9256"/>
    <w:rsid w:val="77C72FEC"/>
    <w:rsid w:val="785D7950"/>
    <w:rsid w:val="78ED545F"/>
    <w:rsid w:val="7AEB24A4"/>
    <w:rsid w:val="7C2F5D59"/>
    <w:rsid w:val="7C557640"/>
    <w:rsid w:val="7C685F08"/>
    <w:rsid w:val="7F6549AB"/>
    <w:rsid w:val="BDB58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jc w:val="center"/>
      <w:outlineLvl w:val="0"/>
    </w:pPr>
    <w:rPr>
      <w:b/>
      <w:bCs/>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ind w:firstLine="632" w:firstLineChars="200"/>
    </w:pPr>
    <w:rPr>
      <w:rFonts w:ascii="仿宋_GB2312" w:hAnsi="华文楷体" w:eastAsia="仿宋_GB2312"/>
      <w:sz w:val="32"/>
    </w:rPr>
  </w:style>
  <w:style w:type="paragraph" w:styleId="4">
    <w:name w:val="envelope return"/>
    <w:basedOn w:val="1"/>
    <w:qFormat/>
    <w:uiPriority w:val="0"/>
    <w:pPr>
      <w:snapToGrid w:val="0"/>
    </w:pPr>
    <w:rPr>
      <w:rFonts w:ascii="Arial" w:hAnsi="Arial"/>
    </w:rPr>
  </w:style>
  <w:style w:type="paragraph" w:styleId="5">
    <w:name w:val="Body Text First Indent 2"/>
    <w:basedOn w:val="3"/>
    <w:next w:val="1"/>
    <w:qFormat/>
    <w:uiPriority w:val="0"/>
    <w:pPr>
      <w:ind w:firstLine="420" w:firstLineChars="200"/>
    </w:pPr>
    <w:rPr>
      <w:sz w:val="21"/>
    </w:r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9">
    <w:name w:val="NormalCharacter"/>
    <w:link w:val="10"/>
    <w:qFormat/>
    <w:uiPriority w:val="0"/>
  </w:style>
  <w:style w:type="paragraph" w:customStyle="1" w:styleId="10">
    <w:name w:val="UserStyle_0"/>
    <w:basedOn w:val="11"/>
    <w:link w:val="9"/>
    <w:qFormat/>
    <w:uiPriority w:val="0"/>
    <w:pPr>
      <w:shd w:val="clear" w:color="auto" w:fill="000080"/>
      <w:snapToGrid w:val="0"/>
      <w:spacing w:line="360" w:lineRule="auto"/>
      <w:jc w:val="both"/>
      <w:textAlignment w:val="baseline"/>
    </w:pPr>
  </w:style>
  <w:style w:type="paragraph" w:customStyle="1" w:styleId="11">
    <w:name w:val="NavPane"/>
    <w:basedOn w:val="1"/>
    <w:qFormat/>
    <w:uiPriority w:val="0"/>
    <w:pPr>
      <w:shd w:val="clear" w:color="auto" w:fill="000080"/>
      <w:jc w:val="both"/>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1749</Words>
  <Characters>1824</Characters>
  <Lines>0</Lines>
  <Paragraphs>0</Paragraphs>
  <TotalTime>1</TotalTime>
  <ScaleCrop>false</ScaleCrop>
  <LinksUpToDate>false</LinksUpToDate>
  <CharactersWithSpaces>1867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2020-04-27T00:12:00Z</dcterms:created>
  <dc:creator>吴培隆</dc:creator>
  <cp:lastModifiedBy>huawei</cp:lastModifiedBy>
  <cp:lastPrinted>2020-04-27T00:39:00Z</cp:lastPrinted>
  <dcterms:modified xsi:type="dcterms:W3CDTF">2026-09-08T11:57:54Z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47024887B03521D6CA869F6ABFB746B2_43</vt:lpwstr>
  </property>
  <property fmtid="{D5CDD505-2E9C-101B-9397-08002B2CF9AE}" pid="4" name="commondata">
    <vt:lpwstr>eyJoZGlkIjoiNmMwMzM1ODMzMDdlNjY1NDg0NTlmYzE2ZTQwZWE2MzcifQ==</vt:lpwstr>
  </property>
  <property fmtid="{D5CDD505-2E9C-101B-9397-08002B2CF9AE}" pid="5" name="KSOTemplateDocerSaveRecord">
    <vt:lpwstr>eyJoZGlkIjoiNmMwMzM1ODMzMDdlNjY1NDg0NTlmYzE2ZTQwZWE2MzciLCJ1c2VySWQiOiI0Mzc2NjUyMDAifQ==</vt:lpwstr>
  </property>
</Properties>
</file>